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rsidR="009C3FF6" w:rsidRPr="00BE1D75" w:rsidRDefault="009C3FF6" w:rsidP="009C3FF6">
      <w:pPr>
        <w:widowControl w:val="0"/>
        <w:numPr>
          <w:ilvl w:val="0"/>
          <w:numId w:val="29"/>
        </w:numPr>
        <w:tabs>
          <w:tab w:val="clear" w:pos="644"/>
          <w:tab w:val="num" w:pos="709"/>
        </w:tabs>
        <w:spacing w:before="100" w:after="100"/>
        <w:ind w:left="709" w:hanging="425"/>
        <w:outlineLvl w:val="0"/>
        <w:rPr>
          <w:b/>
          <w:bCs/>
        </w:rPr>
      </w:pPr>
      <w:r w:rsidRPr="00E82463">
        <w:rPr>
          <w:rFonts w:ascii="Times New Roman" w:hAnsi="Times New Roman"/>
        </w:rPr>
        <w:t xml:space="preserve">PUBLICATION REF.: </w:t>
      </w:r>
      <w:r>
        <w:rPr>
          <w:b/>
          <w:bCs/>
        </w:rPr>
        <w:t xml:space="preserve">CN1 – SO1.2 – SC036   </w:t>
      </w:r>
    </w:p>
    <w:p w:rsidR="009C3FF6" w:rsidRPr="0034001D" w:rsidRDefault="009C3FF6" w:rsidP="009C3FF6">
      <w:pPr>
        <w:tabs>
          <w:tab w:val="left" w:pos="0"/>
          <w:tab w:val="left" w:pos="709"/>
          <w:tab w:val="left" w:pos="851"/>
          <w:tab w:val="left" w:pos="1134"/>
          <w:tab w:val="left" w:pos="1418"/>
        </w:tabs>
        <w:spacing w:before="240" w:after="240"/>
        <w:rPr>
          <w:b/>
          <w:bCs/>
        </w:rPr>
      </w:pPr>
      <w:r>
        <w:rPr>
          <w:b/>
          <w:bCs/>
        </w:rPr>
        <w:t xml:space="preserve">            </w:t>
      </w:r>
      <w:r w:rsidR="0015249A">
        <w:t>Tender 5/2021</w:t>
      </w: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1" w:name="_Toc42488070"/>
      <w:r w:rsidRPr="00E82463">
        <w:t>Supplies to be provided</w:t>
      </w:r>
      <w:bookmarkEnd w:id="1"/>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9C3FF6" w:rsidRDefault="009C3FF6" w:rsidP="009C3FF6">
      <w:pPr>
        <w:numPr>
          <w:ilvl w:val="1"/>
          <w:numId w:val="2"/>
        </w:numPr>
        <w:jc w:val="both"/>
        <w:rPr>
          <w:rFonts w:ascii="Times New Roman" w:hAnsi="Times New Roman"/>
          <w:sz w:val="22"/>
          <w:szCs w:val="22"/>
        </w:rPr>
      </w:pPr>
      <w:r w:rsidRPr="00E82463">
        <w:rPr>
          <w:rFonts w:ascii="Times New Roman" w:hAnsi="Times New Roman"/>
          <w:sz w:val="22"/>
          <w:szCs w:val="22"/>
        </w:rPr>
        <w:t>The subject of the contract is the supply</w:t>
      </w:r>
      <w:r w:rsidRPr="00EC3164">
        <w:rPr>
          <w:rFonts w:ascii="Times New Roman" w:hAnsi="Times New Roman"/>
          <w:sz w:val="22"/>
          <w:szCs w:val="22"/>
        </w:rPr>
        <w:t>,delivery</w:t>
      </w:r>
      <w:r>
        <w:rPr>
          <w:rFonts w:ascii="Times New Roman" w:hAnsi="Times New Roman"/>
          <w:sz w:val="22"/>
          <w:szCs w:val="22"/>
        </w:rPr>
        <w:t>,</w:t>
      </w:r>
      <w:r w:rsidRPr="00EC3164">
        <w:rPr>
          <w:rFonts w:ascii="Times New Roman" w:hAnsi="Times New Roman"/>
          <w:sz w:val="22"/>
          <w:szCs w:val="22"/>
        </w:rPr>
        <w:t>installation</w:t>
      </w:r>
      <w:r>
        <w:rPr>
          <w:rFonts w:ascii="Times New Roman" w:hAnsi="Times New Roman"/>
          <w:sz w:val="22"/>
          <w:szCs w:val="22"/>
        </w:rPr>
        <w:t xml:space="preserve"> ,</w:t>
      </w:r>
      <w:r w:rsidRPr="00EC3164">
        <w:rPr>
          <w:rFonts w:ascii="Times New Roman" w:hAnsi="Times New Roman"/>
          <w:sz w:val="22"/>
          <w:szCs w:val="22"/>
        </w:rPr>
        <w:t>commissioning</w:t>
      </w:r>
      <w:r>
        <w:rPr>
          <w:rFonts w:ascii="Times New Roman" w:hAnsi="Times New Roman"/>
          <w:sz w:val="22"/>
          <w:szCs w:val="22"/>
        </w:rPr>
        <w:t xml:space="preserve">, </w:t>
      </w:r>
      <w:r w:rsidRPr="00EC3164">
        <w:rPr>
          <w:rFonts w:ascii="Times New Roman" w:hAnsi="Times New Roman"/>
          <w:sz w:val="22"/>
          <w:szCs w:val="22"/>
        </w:rPr>
        <w:t>maintenance</w:t>
      </w:r>
      <w:r>
        <w:rPr>
          <w:rFonts w:ascii="Times New Roman" w:hAnsi="Times New Roman"/>
          <w:sz w:val="22"/>
          <w:szCs w:val="22"/>
        </w:rPr>
        <w:t xml:space="preserve"> </w:t>
      </w:r>
      <w:r w:rsidRPr="00EC3164">
        <w:rPr>
          <w:rFonts w:ascii="Times New Roman" w:hAnsi="Times New Roman"/>
          <w:sz w:val="22"/>
          <w:szCs w:val="22"/>
        </w:rPr>
        <w:t>after-sales service in the warranty period by the contractor of the following goods</w:t>
      </w:r>
      <w:r w:rsidRPr="00E82463">
        <w:rPr>
          <w:rFonts w:ascii="Times New Roman" w:hAnsi="Times New Roman"/>
          <w:sz w:val="22"/>
          <w:szCs w:val="22"/>
        </w:rPr>
        <w:t xml:space="preserve"> </w:t>
      </w:r>
    </w:p>
    <w:p w:rsidR="009C3FF6" w:rsidRDefault="009C3FF6" w:rsidP="009C3FF6">
      <w:pPr>
        <w:ind w:left="567"/>
        <w:jc w:val="both"/>
        <w:rPr>
          <w:rFonts w:ascii="Times New Roman" w:hAnsi="Times New Roman"/>
          <w:sz w:val="22"/>
          <w:szCs w:val="22"/>
        </w:rPr>
      </w:pPr>
      <w:r>
        <w:rPr>
          <w:rFonts w:ascii="Times New Roman" w:hAnsi="Times New Roman"/>
          <w:sz w:val="22"/>
          <w:szCs w:val="22"/>
        </w:rPr>
        <w:t>Gynecological instruments (technical specification)</w:t>
      </w:r>
    </w:p>
    <w:p w:rsidR="009C3FF6" w:rsidRDefault="009C3FF6" w:rsidP="009C3FF6">
      <w:pPr>
        <w:jc w:val="both"/>
        <w:rPr>
          <w:rFonts w:ascii="Times New Roman" w:hAnsi="Times New Roman"/>
          <w:sz w:val="22"/>
          <w:szCs w:val="22"/>
        </w:rPr>
      </w:pPr>
      <w:r>
        <w:rPr>
          <w:rFonts w:ascii="Times New Roman" w:hAnsi="Times New Roman"/>
          <w:sz w:val="22"/>
          <w:szCs w:val="22"/>
        </w:rPr>
        <w:t xml:space="preserve">          One lot only </w:t>
      </w:r>
    </w:p>
    <w:p w:rsidR="009C3FF6" w:rsidRPr="00E82463" w:rsidRDefault="009C3FF6" w:rsidP="009C3FF6">
      <w:pPr>
        <w:ind w:left="567"/>
        <w:jc w:val="both"/>
        <w:rPr>
          <w:rFonts w:ascii="Times New Roman" w:hAnsi="Times New Roman"/>
          <w:sz w:val="22"/>
          <w:szCs w:val="22"/>
        </w:rPr>
      </w:pPr>
      <w:r w:rsidRPr="00EC3164">
        <w:rPr>
          <w:rFonts w:ascii="Times New Roman" w:hAnsi="Times New Roman"/>
          <w:sz w:val="22"/>
          <w:szCs w:val="22"/>
        </w:rPr>
        <w:t>At Clinical hospital Bitola</w:t>
      </w:r>
      <w:r>
        <w:rPr>
          <w:rFonts w:ascii="Times New Roman" w:hAnsi="Times New Roman"/>
          <w:sz w:val="22"/>
          <w:szCs w:val="22"/>
        </w:rPr>
        <w:t xml:space="preserve"> </w:t>
      </w:r>
      <w:r w:rsidRPr="00EC3164">
        <w:rPr>
          <w:rFonts w:ascii="Times New Roman" w:hAnsi="Times New Roman"/>
          <w:sz w:val="22"/>
          <w:szCs w:val="22"/>
        </w:rPr>
        <w:t>[DDP],and &lt;</w:t>
      </w:r>
      <w:r w:rsidR="003F4BBC">
        <w:rPr>
          <w:rFonts w:ascii="Times New Roman" w:hAnsi="Times New Roman"/>
          <w:sz w:val="22"/>
          <w:szCs w:val="22"/>
        </w:rPr>
        <w:t>the implementation period in (15-30</w:t>
      </w:r>
      <w:r w:rsidRPr="00EC3164">
        <w:rPr>
          <w:rFonts w:ascii="Times New Roman" w:hAnsi="Times New Roman"/>
          <w:sz w:val="22"/>
          <w:szCs w:val="22"/>
        </w:rPr>
        <w:t>) days, in accordance with point 15 of the contract notice&gt;.</w:t>
      </w:r>
    </w:p>
    <w:p w:rsidR="0047783A" w:rsidRPr="00E82463"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E82463" w:rsidRDefault="0047783A" w:rsidP="00A4424B">
      <w:pPr>
        <w:pStyle w:val="Heading1"/>
      </w:pPr>
      <w:bookmarkStart w:id="4" w:name="_Toc42488071"/>
      <w:r w:rsidRPr="00E82463">
        <w:t>Timetable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E82463" w:rsidRDefault="00DA4D57" w:rsidP="00A4424B">
            <w:pPr>
              <w:jc w:val="center"/>
              <w:rPr>
                <w:rFonts w:ascii="Times New Roman" w:hAnsi="Times New Roman"/>
                <w:sz w:val="22"/>
              </w:rPr>
            </w:pPr>
            <w:r>
              <w:rPr>
                <w:rFonts w:ascii="Times New Roman" w:hAnsi="Times New Roman"/>
                <w:sz w:val="22"/>
              </w:rPr>
              <w:t xml:space="preserve"> [</w:t>
            </w:r>
            <w:r w:rsidR="0047783A" w:rsidRPr="003051AA">
              <w:rPr>
                <w:rFonts w:ascii="Times New Roman" w:hAnsi="Times New Roman"/>
                <w:sz w:val="22"/>
                <w:highlight w:val="lightGray"/>
              </w:rPr>
              <w:t>Not applicable</w:t>
            </w:r>
            <w:r>
              <w:rPr>
                <w:rFonts w:ascii="Times New Roman" w:hAnsi="Times New Roman"/>
                <w:sz w:val="22"/>
              </w:rPr>
              <w:t>]</w:t>
            </w:r>
          </w:p>
        </w:tc>
        <w:tc>
          <w:tcPr>
            <w:tcW w:w="2268" w:type="dxa"/>
          </w:tcPr>
          <w:p w:rsidR="0047783A" w:rsidRPr="00E82463" w:rsidRDefault="00DA4D57" w:rsidP="00A4424B">
            <w:pPr>
              <w:jc w:val="center"/>
              <w:rPr>
                <w:rFonts w:ascii="Times New Roman" w:hAnsi="Times New Roman"/>
                <w:sz w:val="22"/>
              </w:rPr>
            </w:pPr>
            <w:r>
              <w:rPr>
                <w:rFonts w:ascii="Times New Roman" w:hAnsi="Times New Roman"/>
                <w:sz w:val="22"/>
              </w:rPr>
              <w:t xml:space="preserve"> [</w:t>
            </w:r>
            <w:r w:rsidRPr="007C334B">
              <w:rPr>
                <w:rFonts w:ascii="Times New Roman" w:hAnsi="Times New Roman"/>
                <w:sz w:val="22"/>
                <w:highlight w:val="lightGray"/>
              </w:rPr>
              <w:t>Not applicable</w:t>
            </w:r>
            <w:r>
              <w:rPr>
                <w:rFonts w:ascii="Times New Roman" w:hAnsi="Times New Roman"/>
                <w:sz w:val="22"/>
              </w:rPr>
              <w:t>]</w:t>
            </w:r>
          </w:p>
        </w:tc>
      </w:tr>
      <w:tr w:rsidR="0047783A" w:rsidRPr="00E82463" w:rsidTr="00A4424B">
        <w:tc>
          <w:tcPr>
            <w:tcW w:w="3969" w:type="dxa"/>
            <w:shd w:val="pct10" w:color="auto" w:fill="FFFFFF"/>
          </w:tcPr>
          <w:p w:rsidR="0047783A" w:rsidRPr="00E82463" w:rsidRDefault="0047783A" w:rsidP="006E4A76">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47783A" w:rsidRPr="00E82463" w:rsidRDefault="008F27F5" w:rsidP="0047783A">
            <w:pPr>
              <w:rPr>
                <w:rFonts w:ascii="Times New Roman" w:hAnsi="Times New Roman"/>
                <w:sz w:val="22"/>
              </w:rPr>
            </w:pPr>
            <w:r>
              <w:rPr>
                <w:rFonts w:ascii="Times New Roman" w:hAnsi="Times New Roman"/>
                <w:sz w:val="22"/>
              </w:rPr>
              <w:t>03.03</w:t>
            </w:r>
            <w:r w:rsidR="009C3FF6">
              <w:rPr>
                <w:rFonts w:ascii="Times New Roman" w:hAnsi="Times New Roman"/>
                <w:sz w:val="22"/>
              </w:rPr>
              <w:t>.2021</w:t>
            </w:r>
          </w:p>
        </w:tc>
        <w:tc>
          <w:tcPr>
            <w:tcW w:w="2268" w:type="dxa"/>
          </w:tcPr>
          <w:p w:rsidR="0047783A" w:rsidRPr="00E82463" w:rsidRDefault="009C3FF6" w:rsidP="00A4424B">
            <w:pPr>
              <w:jc w:val="center"/>
              <w:rPr>
                <w:rFonts w:ascii="Times New Roman" w:hAnsi="Times New Roman"/>
                <w:sz w:val="22"/>
              </w:rPr>
            </w:pPr>
            <w:r>
              <w:rPr>
                <w:rFonts w:ascii="Times New Roman" w:hAnsi="Times New Roman"/>
                <w:sz w:val="22"/>
              </w:rPr>
              <w:t>12.00</w:t>
            </w:r>
          </w:p>
        </w:tc>
      </w:tr>
      <w:tr w:rsidR="0047783A" w:rsidRPr="00E82463" w:rsidTr="00A4424B">
        <w:tc>
          <w:tcPr>
            <w:tcW w:w="3969" w:type="dxa"/>
            <w:shd w:val="pct10" w:color="auto" w:fill="FFFFFF"/>
          </w:tcPr>
          <w:p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47783A" w:rsidRPr="00E82463" w:rsidRDefault="008F27F5" w:rsidP="0047783A">
            <w:pPr>
              <w:rPr>
                <w:rFonts w:ascii="Times New Roman" w:hAnsi="Times New Roman"/>
                <w:sz w:val="22"/>
              </w:rPr>
            </w:pPr>
            <w:r>
              <w:rPr>
                <w:rFonts w:ascii="Times New Roman" w:hAnsi="Times New Roman"/>
                <w:sz w:val="22"/>
              </w:rPr>
              <w:t>08</w:t>
            </w:r>
            <w:r w:rsidR="009C3FF6">
              <w:rPr>
                <w:rFonts w:ascii="Times New Roman" w:hAnsi="Times New Roman"/>
                <w:sz w:val="22"/>
              </w:rPr>
              <w:t>.03.2021</w:t>
            </w:r>
          </w:p>
        </w:tc>
        <w:tc>
          <w:tcPr>
            <w:tcW w:w="2268" w:type="dxa"/>
          </w:tcPr>
          <w:p w:rsidR="0047783A" w:rsidRPr="00E82463" w:rsidRDefault="0047783A" w:rsidP="00A4424B">
            <w:pPr>
              <w:jc w:val="center"/>
              <w:rPr>
                <w:rFonts w:ascii="Times New Roman" w:hAnsi="Times New Roman"/>
                <w:sz w:val="22"/>
              </w:rPr>
            </w:pPr>
            <w:r w:rsidRPr="00E82463">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rsidR="0047783A" w:rsidRPr="00E82463" w:rsidRDefault="008F27F5" w:rsidP="0047783A">
            <w:pPr>
              <w:rPr>
                <w:rFonts w:ascii="Times New Roman" w:hAnsi="Times New Roman"/>
                <w:sz w:val="22"/>
              </w:rPr>
            </w:pPr>
            <w:r>
              <w:rPr>
                <w:rFonts w:ascii="Times New Roman" w:hAnsi="Times New Roman"/>
                <w:sz w:val="22"/>
              </w:rPr>
              <w:t>12</w:t>
            </w:r>
            <w:r w:rsidR="009C3FF6">
              <w:rPr>
                <w:rFonts w:ascii="Times New Roman" w:hAnsi="Times New Roman"/>
                <w:sz w:val="22"/>
              </w:rPr>
              <w:t>.03.2021</w:t>
            </w:r>
          </w:p>
        </w:tc>
        <w:tc>
          <w:tcPr>
            <w:tcW w:w="2268" w:type="dxa"/>
          </w:tcPr>
          <w:p w:rsidR="0047783A" w:rsidRPr="00E82463" w:rsidRDefault="009C3FF6" w:rsidP="00A4424B">
            <w:pPr>
              <w:jc w:val="center"/>
              <w:rPr>
                <w:rFonts w:ascii="Times New Roman" w:hAnsi="Times New Roman"/>
                <w:sz w:val="22"/>
              </w:rPr>
            </w:pPr>
            <w:r>
              <w:rPr>
                <w:rFonts w:ascii="Times New Roman" w:hAnsi="Times New Roman"/>
                <w:sz w:val="22"/>
              </w:rPr>
              <w:t>12.00</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rsidR="0047783A" w:rsidRPr="00E82463" w:rsidRDefault="008F27F5" w:rsidP="0047783A">
            <w:pPr>
              <w:rPr>
                <w:rFonts w:ascii="Times New Roman" w:hAnsi="Times New Roman"/>
                <w:sz w:val="22"/>
              </w:rPr>
            </w:pPr>
            <w:r>
              <w:rPr>
                <w:rFonts w:ascii="Times New Roman" w:hAnsi="Times New Roman"/>
                <w:sz w:val="22"/>
              </w:rPr>
              <w:t>19</w:t>
            </w:r>
            <w:r w:rsidR="009C3FF6">
              <w:rPr>
                <w:rFonts w:ascii="Times New Roman" w:hAnsi="Times New Roman"/>
                <w:sz w:val="22"/>
              </w:rPr>
              <w:t>.03.2021</w:t>
            </w:r>
          </w:p>
        </w:tc>
        <w:tc>
          <w:tcPr>
            <w:tcW w:w="2268" w:type="dxa"/>
          </w:tcPr>
          <w:p w:rsidR="0047783A" w:rsidRPr="00E82463" w:rsidRDefault="009C3FF6" w:rsidP="00A4424B">
            <w:pPr>
              <w:jc w:val="center"/>
              <w:rPr>
                <w:rFonts w:ascii="Times New Roman" w:hAnsi="Times New Roman"/>
                <w:sz w:val="22"/>
              </w:rPr>
            </w:pPr>
            <w:r>
              <w:rPr>
                <w:rFonts w:ascii="Times New Roman" w:hAnsi="Times New Roman"/>
                <w:sz w:val="22"/>
              </w:rPr>
              <w:t>12.00</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lastRenderedPageBreak/>
              <w:t>Notification of award to the successful tenderer</w:t>
            </w:r>
          </w:p>
        </w:tc>
        <w:tc>
          <w:tcPr>
            <w:tcW w:w="2410" w:type="dxa"/>
          </w:tcPr>
          <w:p w:rsidR="0047783A" w:rsidRPr="00E82463" w:rsidRDefault="008F27F5" w:rsidP="00F679ED">
            <w:pPr>
              <w:tabs>
                <w:tab w:val="left" w:pos="851"/>
              </w:tabs>
              <w:rPr>
                <w:rFonts w:ascii="Times New Roman" w:hAnsi="Times New Roman"/>
                <w:sz w:val="22"/>
              </w:rPr>
            </w:pPr>
            <w:r>
              <w:rPr>
                <w:rFonts w:ascii="Times New Roman" w:hAnsi="Times New Roman"/>
                <w:sz w:val="22"/>
              </w:rPr>
              <w:t>19</w:t>
            </w:r>
            <w:r w:rsidR="009C3FF6">
              <w:rPr>
                <w:rFonts w:ascii="Times New Roman" w:hAnsi="Times New Roman"/>
                <w:sz w:val="22"/>
              </w:rPr>
              <w:t>.03.2021</w:t>
            </w:r>
          </w:p>
        </w:tc>
        <w:tc>
          <w:tcPr>
            <w:tcW w:w="2268" w:type="dxa"/>
          </w:tcPr>
          <w:p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47783A" w:rsidRPr="00E82463" w:rsidRDefault="008F27F5" w:rsidP="00F679ED">
            <w:pPr>
              <w:tabs>
                <w:tab w:val="left" w:pos="851"/>
              </w:tabs>
              <w:rPr>
                <w:rFonts w:ascii="Times New Roman" w:hAnsi="Times New Roman"/>
                <w:sz w:val="22"/>
              </w:rPr>
            </w:pPr>
            <w:r>
              <w:rPr>
                <w:rFonts w:ascii="Times New Roman" w:hAnsi="Times New Roman"/>
                <w:sz w:val="22"/>
              </w:rPr>
              <w:t>23</w:t>
            </w:r>
            <w:r w:rsidR="009C3FF6">
              <w:rPr>
                <w:rFonts w:ascii="Times New Roman" w:hAnsi="Times New Roman"/>
                <w:sz w:val="22"/>
              </w:rPr>
              <w:t>.03.2021</w:t>
            </w:r>
          </w:p>
        </w:tc>
        <w:tc>
          <w:tcPr>
            <w:tcW w:w="2268" w:type="dxa"/>
          </w:tcPr>
          <w:p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bl>
    <w:p w:rsidR="0047783A" w:rsidRDefault="0047783A">
      <w:pPr>
        <w:tabs>
          <w:tab w:val="left" w:pos="851"/>
        </w:tabs>
        <w:jc w:val="both"/>
        <w:rPr>
          <w:rFonts w:ascii="Times New Roman" w:hAnsi="Times New Roman"/>
          <w:b/>
        </w:rPr>
      </w:pPr>
      <w:bookmarkStart w:id="5"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F679ED" w:rsidRPr="00E82463" w:rsidRDefault="00F679ED">
      <w:pPr>
        <w:tabs>
          <w:tab w:val="left" w:pos="851"/>
        </w:tabs>
        <w:jc w:val="both"/>
        <w:rPr>
          <w:rFonts w:ascii="Times New Roman" w:hAnsi="Times New Roman"/>
          <w:b/>
        </w:rPr>
      </w:pPr>
    </w:p>
    <w:p w:rsidR="0047783A" w:rsidRPr="00E82463" w:rsidRDefault="0047783A" w:rsidP="00A4424B">
      <w:pPr>
        <w:pStyle w:val="Heading1"/>
      </w:pPr>
      <w:bookmarkStart w:id="6" w:name="_Toc42488072"/>
      <w:bookmarkEnd w:id="5"/>
      <w:r w:rsidRPr="00E82463">
        <w:t>Participation</w:t>
      </w:r>
      <w:bookmarkEnd w:id="6"/>
    </w:p>
    <w:p w:rsidR="00123EDC" w:rsidRPr="00E82463"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11712F">
        <w:rPr>
          <w:sz w:val="22"/>
          <w:szCs w:val="22"/>
          <w:lang w:val="en-GB"/>
        </w:rPr>
        <w:t xml:space="preserve">Participation is open to all </w:t>
      </w:r>
      <w:r w:rsidR="00123EDC" w:rsidRPr="0011712F">
        <w:rPr>
          <w:rFonts w:eastAsia="Calibri"/>
          <w:sz w:val="22"/>
          <w:szCs w:val="22"/>
          <w:lang w:val="en-GB"/>
        </w:rPr>
        <w:t xml:space="preserve">natural persons who are nationals of and </w:t>
      </w:r>
      <w:r w:rsidR="00123EDC" w:rsidRPr="0011712F">
        <w:rPr>
          <w:sz w:val="22"/>
          <w:szCs w:val="22"/>
          <w:lang w:val="en-GB"/>
        </w:rPr>
        <w:t xml:space="preserve">legal persons </w:t>
      </w:r>
      <w:r w:rsidR="00D8732D" w:rsidRPr="0011712F">
        <w:rPr>
          <w:sz w:val="22"/>
          <w:szCs w:val="22"/>
          <w:lang w:val="en-GB"/>
        </w:rPr>
        <w:t>(</w:t>
      </w:r>
      <w:r w:rsidR="00123EDC" w:rsidRPr="0011712F">
        <w:rPr>
          <w:sz w:val="22"/>
          <w:szCs w:val="22"/>
          <w:lang w:val="en-GB"/>
        </w:rPr>
        <w:t xml:space="preserve">participating either individually or in a grouping </w:t>
      </w:r>
      <w:r w:rsidR="00A8413B" w:rsidRPr="0011712F">
        <w:rPr>
          <w:sz w:val="22"/>
          <w:szCs w:val="22"/>
          <w:lang w:val="en-GB"/>
        </w:rPr>
        <w:t>–</w:t>
      </w:r>
      <w:r w:rsidR="00D8732D" w:rsidRPr="0011712F">
        <w:rPr>
          <w:sz w:val="22"/>
          <w:szCs w:val="22"/>
          <w:lang w:val="en-GB"/>
        </w:rPr>
        <w:t xml:space="preserve"> </w:t>
      </w:r>
      <w:r w:rsidR="00123EDC" w:rsidRPr="0011712F">
        <w:rPr>
          <w:sz w:val="22"/>
          <w:szCs w:val="22"/>
          <w:lang w:val="en-GB"/>
        </w:rPr>
        <w:t>consortium</w:t>
      </w:r>
      <w:r w:rsidR="00D8732D" w:rsidRPr="0011712F">
        <w:rPr>
          <w:sz w:val="22"/>
          <w:szCs w:val="22"/>
          <w:lang w:val="en-GB"/>
        </w:rPr>
        <w:t xml:space="preserve"> </w:t>
      </w:r>
      <w:r w:rsidR="00A8413B" w:rsidRPr="0011712F">
        <w:rPr>
          <w:sz w:val="22"/>
          <w:szCs w:val="22"/>
          <w:lang w:val="en-GB"/>
        </w:rPr>
        <w:t>–</w:t>
      </w:r>
      <w:r w:rsidR="00123EDC" w:rsidRPr="0011712F">
        <w:rPr>
          <w:sz w:val="22"/>
          <w:szCs w:val="22"/>
          <w:lang w:val="en-GB"/>
        </w:rPr>
        <w:t xml:space="preserve"> of tenderers</w:t>
      </w:r>
      <w:r w:rsidR="00D8732D" w:rsidRPr="0011712F">
        <w:rPr>
          <w:sz w:val="22"/>
          <w:szCs w:val="22"/>
          <w:lang w:val="en-GB"/>
        </w:rPr>
        <w:t>)</w:t>
      </w:r>
      <w:r w:rsidR="00123EDC" w:rsidRPr="0011712F">
        <w:rPr>
          <w:sz w:val="22"/>
          <w:szCs w:val="22"/>
          <w:lang w:val="en-GB"/>
        </w:rPr>
        <w:t xml:space="preserve"> which are effectively established in a  Member State of the European Union or in a eligible country or territory  as defined under </w:t>
      </w:r>
      <w:r w:rsidR="00123EDC" w:rsidRPr="0011712F">
        <w:rPr>
          <w:rFonts w:eastAsia="Calibri"/>
          <w:bCs/>
          <w:snapToGrid/>
          <w:sz w:val="22"/>
          <w:szCs w:val="22"/>
          <w:lang w:val="en-GB"/>
        </w:rPr>
        <w:t xml:space="preserve">the Regulation </w:t>
      </w:r>
      <w:r w:rsidR="00123EDC" w:rsidRPr="0011712F">
        <w:rPr>
          <w:sz w:val="22"/>
          <w:szCs w:val="22"/>
          <w:lang w:val="en-GB"/>
        </w:rPr>
        <w:t xml:space="preserve">(EU) </w:t>
      </w:r>
      <w:r w:rsidR="00A8413B" w:rsidRPr="0011712F">
        <w:rPr>
          <w:sz w:val="22"/>
          <w:szCs w:val="22"/>
          <w:lang w:val="en-GB"/>
        </w:rPr>
        <w:t>No </w:t>
      </w:r>
      <w:r w:rsidR="00123EDC" w:rsidRPr="0011712F">
        <w:rPr>
          <w:rFonts w:eastAsia="MS Mincho"/>
          <w:noProof/>
          <w:sz w:val="22"/>
          <w:szCs w:val="22"/>
          <w:lang w:val="en-GB" w:eastAsia="ja-JP"/>
        </w:rPr>
        <w:t xml:space="preserve">236/2014 </w:t>
      </w:r>
      <w:r w:rsidR="00123EDC" w:rsidRPr="0011712F">
        <w:rPr>
          <w:rFonts w:eastAsia="Calibri"/>
          <w:bCs/>
          <w:snapToGrid/>
          <w:sz w:val="22"/>
          <w:szCs w:val="22"/>
          <w:lang w:val="en-GB"/>
        </w:rPr>
        <w:t xml:space="preserve">establishing common rules and procedures for the implementation of the Union's instruments for external action (CIR) </w:t>
      </w:r>
      <w:r w:rsidR="00123EDC" w:rsidRPr="0011712F">
        <w:rPr>
          <w:sz w:val="22"/>
          <w:szCs w:val="22"/>
          <w:lang w:val="en-GB"/>
        </w:rPr>
        <w:t xml:space="preserve">for the applicable </w:t>
      </w:r>
      <w:r w:rsidR="00EB295F" w:rsidRPr="0011712F">
        <w:rPr>
          <w:sz w:val="22"/>
          <w:szCs w:val="22"/>
          <w:lang w:val="en-GB"/>
        </w:rPr>
        <w:t>i</w:t>
      </w:r>
      <w:r w:rsidR="00123EDC" w:rsidRPr="0011712F">
        <w:rPr>
          <w:sz w:val="22"/>
          <w:szCs w:val="22"/>
          <w:lang w:val="en-GB"/>
        </w:rPr>
        <w:t xml:space="preserve">nstrument under which the contract is financed (see also </w:t>
      </w:r>
      <w:r w:rsidR="00FD4F5A" w:rsidRPr="0011712F">
        <w:rPr>
          <w:sz w:val="22"/>
          <w:szCs w:val="22"/>
          <w:lang w:val="en-GB"/>
        </w:rPr>
        <w:t>the</w:t>
      </w:r>
      <w:r w:rsidR="00B50CF5" w:rsidRPr="0011712F">
        <w:rPr>
          <w:sz w:val="22"/>
          <w:szCs w:val="22"/>
          <w:lang w:val="en-GB"/>
        </w:rPr>
        <w:t xml:space="preserve"> additional information about</w:t>
      </w:r>
      <w:r w:rsidR="00FD4F5A" w:rsidRPr="0011712F">
        <w:rPr>
          <w:sz w:val="22"/>
          <w:szCs w:val="22"/>
          <w:lang w:val="en-GB"/>
        </w:rPr>
        <w:t xml:space="preserve"> contract notice</w:t>
      </w:r>
      <w:r w:rsidR="00123EDC" w:rsidRPr="0011712F">
        <w:rPr>
          <w:sz w:val="22"/>
          <w:szCs w:val="22"/>
          <w:lang w:val="en-GB"/>
        </w:rPr>
        <w:t xml:space="preserve">). Participation is also open to international organisations. All supplies under this contract must originate in one or more of these countries. </w:t>
      </w:r>
      <w:r w:rsidR="00123EDC" w:rsidRPr="0011712F">
        <w:rPr>
          <w:rFonts w:eastAsia="Calibri"/>
          <w:noProof/>
          <w:sz w:val="22"/>
          <w:szCs w:val="22"/>
          <w:lang w:val="en-GB"/>
        </w:rPr>
        <w:t>However, they may originate from any country when</w:t>
      </w:r>
      <w:bookmarkStart w:id="7" w:name="_DV_C321"/>
      <w:r w:rsidR="00123EDC" w:rsidRPr="0011712F">
        <w:rPr>
          <w:rFonts w:eastAsia="Calibri"/>
          <w:noProof/>
          <w:color w:val="000000"/>
          <w:sz w:val="22"/>
          <w:szCs w:val="22"/>
          <w:lang w:val="en-GB"/>
        </w:rPr>
        <w:t xml:space="preserve">  the amount of the supplies to be purchased</w:t>
      </w:r>
      <w:r w:rsidR="00E72143" w:rsidRPr="0011712F">
        <w:rPr>
          <w:rFonts w:eastAsia="Calibri"/>
          <w:noProof/>
          <w:color w:val="000000"/>
          <w:sz w:val="22"/>
          <w:szCs w:val="22"/>
          <w:lang w:val="en-GB"/>
        </w:rPr>
        <w:t xml:space="preserve"> (as a whole or, if divided into lots, per lot)</w:t>
      </w:r>
      <w:r w:rsidR="00123EDC" w:rsidRPr="0011712F">
        <w:rPr>
          <w:rFonts w:eastAsia="Calibri"/>
          <w:noProof/>
          <w:color w:val="000000"/>
          <w:sz w:val="22"/>
          <w:szCs w:val="22"/>
          <w:lang w:val="en-GB"/>
        </w:rPr>
        <w:t xml:space="preserve"> is below</w:t>
      </w:r>
      <w:bookmarkEnd w:id="7"/>
      <w:r w:rsidR="0066145D" w:rsidRPr="0011712F">
        <w:rPr>
          <w:rFonts w:eastAsia="Calibri"/>
          <w:noProof/>
          <w:color w:val="000000"/>
          <w:sz w:val="22"/>
          <w:szCs w:val="22"/>
          <w:lang w:val="en-GB"/>
        </w:rPr>
        <w:t xml:space="preserve"> </w:t>
      </w:r>
      <w:r w:rsidR="00E72143" w:rsidRPr="0011712F">
        <w:rPr>
          <w:rFonts w:eastAsia="Calibri"/>
          <w:noProof/>
          <w:color w:val="000000"/>
          <w:sz w:val="22"/>
          <w:szCs w:val="22"/>
          <w:lang w:val="en-GB"/>
        </w:rPr>
        <w:t xml:space="preserve">EUR </w:t>
      </w:r>
      <w:r w:rsidR="00123EDC" w:rsidRPr="0011712F">
        <w:rPr>
          <w:rFonts w:eastAsia="Calibri"/>
          <w:noProof/>
          <w:color w:val="000000"/>
          <w:sz w:val="22"/>
          <w:szCs w:val="22"/>
          <w:lang w:val="en-GB"/>
        </w:rPr>
        <w:t>100 000</w:t>
      </w:r>
      <w:r w:rsidR="00123EDC" w:rsidRPr="0011712F">
        <w:rPr>
          <w:rFonts w:eastAsia="Calibri"/>
          <w:noProof/>
          <w:sz w:val="22"/>
          <w:szCs w:val="22"/>
          <w:lang w:val="en-GB"/>
        </w:rPr>
        <w:t xml:space="preserve">. </w:t>
      </w:r>
      <w:r w:rsidR="00D8732D" w:rsidRPr="0011712F">
        <w:rPr>
          <w:sz w:val="22"/>
          <w:szCs w:val="22"/>
          <w:lang w:val="en-GB"/>
        </w:rPr>
        <w:t>]</w:t>
      </w:r>
    </w:p>
    <w:p w:rsidR="00EC4FD6" w:rsidRPr="0011712F" w:rsidRDefault="00EC4FD6" w:rsidP="00EC4FD6">
      <w:pPr>
        <w:spacing w:before="0" w:after="0"/>
        <w:ind w:left="709"/>
        <w:jc w:val="both"/>
        <w:rPr>
          <w:rFonts w:ascii="Times New Roman" w:hAnsi="Times New Roman"/>
          <w:sz w:val="22"/>
          <w:szCs w:val="22"/>
          <w:lang w:val="en-US"/>
        </w:rPr>
      </w:pPr>
      <w:r w:rsidRPr="0011712F">
        <w:rPr>
          <w:rFonts w:ascii="Times New Roman" w:hAnsi="Times New Roman"/>
          <w:sz w:val="22"/>
          <w:szCs w:val="22"/>
          <w:lang w:val="en-US"/>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EC4FD6" w:rsidRPr="0011712F" w:rsidRDefault="00EC4FD6" w:rsidP="00EC4FD6">
      <w:pPr>
        <w:spacing w:before="0" w:after="0"/>
        <w:ind w:left="709"/>
        <w:jc w:val="both"/>
        <w:rPr>
          <w:rFonts w:ascii="Times New Roman" w:hAnsi="Times New Roman"/>
          <w:sz w:val="22"/>
          <w:szCs w:val="22"/>
          <w:lang w:val="en-US"/>
        </w:rPr>
      </w:pPr>
      <w:r w:rsidRPr="0011712F">
        <w:rPr>
          <w:rFonts w:ascii="Times New Roman" w:hAnsi="Times New Roman"/>
          <w:sz w:val="22"/>
          <w:szCs w:val="22"/>
          <w:lang w:val="en-US"/>
        </w:rPr>
        <w:t>* Agreement on the withdrawal of the United Kingdom of Great Britain and Northern Ireland from the European Union and the European Atomic Energy Community.</w:t>
      </w:r>
    </w:p>
    <w:p w:rsidR="00EC4FD6" w:rsidRPr="0011712F" w:rsidRDefault="00EC4FD6" w:rsidP="00EC4FD6">
      <w:pPr>
        <w:spacing w:before="0" w:after="0"/>
        <w:ind w:left="709"/>
        <w:jc w:val="both"/>
        <w:rPr>
          <w:rFonts w:ascii="Times New Roman" w:hAnsi="Times New Roman"/>
          <w:sz w:val="22"/>
          <w:szCs w:val="22"/>
          <w:lang w:val="en-US"/>
        </w:rPr>
      </w:pPr>
      <w:r w:rsidRPr="0011712F">
        <w:rPr>
          <w:rFonts w:ascii="Times New Roman" w:hAnsi="Times New Roman"/>
          <w:sz w:val="22"/>
          <w:szCs w:val="22"/>
          <w:lang w:val="en-US"/>
        </w:rPr>
        <w:t>** Regulation (EU) No 236/2014 of the European Parliament and of the Council of 11 March 2014 laying down common rules and procedures for the implementation of the Union's instruments for financing external action.</w:t>
      </w:r>
    </w:p>
    <w:p w:rsidR="00EC4FD6" w:rsidRPr="0011712F" w:rsidRDefault="00EC4FD6" w:rsidP="00EC4FD6">
      <w:pPr>
        <w:spacing w:before="0" w:after="0"/>
        <w:ind w:left="709"/>
        <w:jc w:val="both"/>
        <w:rPr>
          <w:rFonts w:ascii="Times New Roman" w:hAnsi="Times New Roman"/>
          <w:sz w:val="22"/>
          <w:szCs w:val="22"/>
          <w:lang w:val="en-US"/>
        </w:rPr>
      </w:pPr>
      <w:r w:rsidRPr="0011712F">
        <w:rPr>
          <w:rFonts w:ascii="Times New Roman" w:hAnsi="Times New Roman"/>
          <w:sz w:val="22"/>
          <w:szCs w:val="22"/>
          <w:lang w:val="en-US"/>
        </w:rPr>
        <w:t>*** Annex IV to the ACP-EU Partnership Agreement, as revised by Decision 1/2014 of the ACP-EU Council of Ministers (OJ L196/40, 3.7.2014)</w:t>
      </w:r>
    </w:p>
    <w:p w:rsidR="00EC4FD6" w:rsidRPr="0068353D" w:rsidRDefault="00EC4FD6" w:rsidP="00EC4FD6">
      <w:pPr>
        <w:spacing w:before="0" w:after="0"/>
        <w:ind w:left="709"/>
        <w:jc w:val="both"/>
        <w:rPr>
          <w:rFonts w:ascii="Times New Roman" w:eastAsia="Calibri" w:hAnsi="Times New Roman"/>
          <w:snapToGrid/>
          <w:sz w:val="22"/>
          <w:szCs w:val="22"/>
          <w:lang w:eastAsia="fr-BE"/>
        </w:rPr>
      </w:pPr>
      <w:r w:rsidRPr="0011712F">
        <w:rPr>
          <w:rFonts w:ascii="Times New Roman" w:hAnsi="Times New Roman"/>
          <w:sz w:val="22"/>
          <w:szCs w:val="22"/>
          <w:lang w:val="en-US"/>
        </w:rPr>
        <w:t>**** including the Overseas Countries and Territories having special relations with the United Kingdom, as laid down in Part Four and Annex II of the TFEU</w:t>
      </w:r>
      <w:r w:rsidRPr="0011712F">
        <w:rPr>
          <w:rFonts w:ascii="Times New Roman" w:eastAsia="Calibri" w:hAnsi="Times New Roman"/>
          <w:iCs/>
          <w:snapToGrid/>
          <w:sz w:val="22"/>
          <w:szCs w:val="22"/>
          <w:lang w:eastAsia="fr-BE"/>
        </w:rPr>
        <w:t>]</w:t>
      </w:r>
    </w:p>
    <w:p w:rsidR="00EC4FD6" w:rsidRPr="0042695A" w:rsidRDefault="00EC4FD6" w:rsidP="0042695A"/>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lastRenderedPageBreak/>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11712F" w:rsidRDefault="0047783A" w:rsidP="0011712F">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r w:rsidR="00EC571A" w:rsidRPr="00EC571A">
        <w:rPr>
          <w:rFonts w:ascii="Times New Roman" w:hAnsi="Times New Roman"/>
          <w:sz w:val="22"/>
          <w:szCs w:val="22"/>
          <w:lang w:val="en-GB"/>
        </w:rPr>
        <w:t xml:space="preserve"> </w:t>
      </w:r>
      <w:bookmarkStart w:id="8" w:name="_Toc42488073"/>
    </w:p>
    <w:p w:rsidR="0047783A" w:rsidRPr="0011712F" w:rsidRDefault="0011712F" w:rsidP="0011712F">
      <w:pPr>
        <w:pStyle w:val="Heading2"/>
        <w:tabs>
          <w:tab w:val="num" w:pos="709"/>
          <w:tab w:val="left" w:pos="792"/>
          <w:tab w:val="left" w:pos="8080"/>
        </w:tabs>
        <w:ind w:left="567" w:hanging="567"/>
        <w:jc w:val="both"/>
        <w:rPr>
          <w:rFonts w:ascii="Times New Roman" w:hAnsi="Times New Roman"/>
          <w:b/>
          <w:sz w:val="28"/>
          <w:szCs w:val="28"/>
        </w:rPr>
      </w:pPr>
      <w:r w:rsidRPr="0011712F">
        <w:rPr>
          <w:rFonts w:ascii="Times New Roman" w:hAnsi="Times New Roman"/>
          <w:b/>
          <w:sz w:val="28"/>
          <w:szCs w:val="28"/>
        </w:rPr>
        <w:t>4.</w:t>
      </w:r>
      <w:r w:rsidR="0047783A" w:rsidRPr="0011712F">
        <w:rPr>
          <w:rFonts w:ascii="Times New Roman" w:hAnsi="Times New Roman"/>
          <w:b/>
          <w:sz w:val="28"/>
          <w:szCs w:val="28"/>
        </w:rPr>
        <w:t>Origin</w:t>
      </w:r>
      <w:bookmarkEnd w:id="8"/>
    </w:p>
    <w:p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D33BE3" w:rsidRPr="009656FB" w:rsidRDefault="009656FB" w:rsidP="0063744A">
      <w:pPr>
        <w:ind w:left="567"/>
        <w:jc w:val="both"/>
        <w:rPr>
          <w:rFonts w:ascii="Times New Roman" w:hAnsi="Times New Roman"/>
          <w:sz w:val="22"/>
          <w:szCs w:val="22"/>
        </w:rPr>
      </w:pPr>
      <w:r w:rsidRPr="009656FB">
        <w:rPr>
          <w:rFonts w:ascii="Times New Roman" w:hAnsi="Times New Roman"/>
          <w:sz w:val="22"/>
          <w:szCs w:val="22"/>
        </w:rPr>
        <w:t xml:space="preserve"> </w:t>
      </w:r>
      <w:r w:rsidR="00D33BE3" w:rsidRPr="009656FB">
        <w:rPr>
          <w:rFonts w:ascii="Times New Roman" w:hAnsi="Times New Roman"/>
          <w:sz w:val="22"/>
          <w:szCs w:val="22"/>
        </w:rPr>
        <w:t xml:space="preserve">If the estimated </w:t>
      </w:r>
      <w:r w:rsidR="005F7DC0" w:rsidRPr="009656FB">
        <w:rPr>
          <w:rFonts w:ascii="Times New Roman" w:hAnsi="Times New Roman"/>
          <w:sz w:val="22"/>
          <w:szCs w:val="22"/>
        </w:rPr>
        <w:t xml:space="preserve">intrinsic value of the products </w:t>
      </w:r>
      <w:r w:rsidR="00D33BE3" w:rsidRPr="009656FB">
        <w:rPr>
          <w:rFonts w:ascii="Times New Roman" w:hAnsi="Times New Roman"/>
          <w:sz w:val="22"/>
          <w:szCs w:val="22"/>
        </w:rPr>
        <w:t>is above or equal to EUR 100 000: All supplies under this contract must originate in one or more of the</w:t>
      </w:r>
      <w:r w:rsidR="0063744A" w:rsidRPr="009656FB">
        <w:rPr>
          <w:rFonts w:ascii="Times New Roman" w:hAnsi="Times New Roman"/>
          <w:sz w:val="22"/>
          <w:szCs w:val="22"/>
        </w:rPr>
        <w:t xml:space="preserve"> abov</w:t>
      </w:r>
      <w:r w:rsidR="00D33BE3" w:rsidRPr="009656FB">
        <w:rPr>
          <w:rFonts w:ascii="Times New Roman" w:hAnsi="Times New Roman"/>
          <w:sz w:val="22"/>
          <w:szCs w:val="22"/>
        </w:rPr>
        <w:t>e countries.</w:t>
      </w:r>
    </w:p>
    <w:p w:rsidR="00D33BE3" w:rsidRPr="00D33BE3" w:rsidRDefault="00D33BE3" w:rsidP="0063744A">
      <w:pPr>
        <w:ind w:left="567"/>
        <w:jc w:val="both"/>
        <w:rPr>
          <w:rFonts w:ascii="Times New Roman" w:hAnsi="Times New Roman"/>
          <w:sz w:val="22"/>
          <w:szCs w:val="22"/>
        </w:rPr>
      </w:pPr>
      <w:r w:rsidRPr="009656FB">
        <w:rPr>
          <w:rFonts w:ascii="Times New Roman" w:hAnsi="Times New Roman"/>
          <w:sz w:val="22"/>
          <w:szCs w:val="22"/>
        </w:rPr>
        <w:t xml:space="preserve">If the estimated </w:t>
      </w:r>
      <w:r w:rsidR="005F7DC0" w:rsidRPr="009656FB">
        <w:rPr>
          <w:rFonts w:ascii="Times New Roman" w:hAnsi="Times New Roman"/>
          <w:sz w:val="22"/>
          <w:szCs w:val="22"/>
        </w:rPr>
        <w:t xml:space="preserve">intrinsic value of the products </w:t>
      </w:r>
      <w:r w:rsidRPr="009656FB">
        <w:rPr>
          <w:rFonts w:ascii="Times New Roman" w:hAnsi="Times New Roman"/>
          <w:sz w:val="22"/>
          <w:szCs w:val="22"/>
        </w:rPr>
        <w:t>(of the tender procedure as a whole or if divided into lots, per lot) is below EUR 100 000:</w:t>
      </w:r>
      <w:r w:rsidRPr="009656FB">
        <w:rPr>
          <w:rFonts w:ascii="Times New Roman" w:eastAsia="Calibri" w:hAnsi="Times New Roman"/>
          <w:noProof/>
          <w:sz w:val="22"/>
          <w:szCs w:val="22"/>
        </w:rPr>
        <w:t xml:space="preserve"> </w:t>
      </w:r>
      <w:r w:rsidRPr="009656FB">
        <w:rPr>
          <w:rFonts w:ascii="Times New Roman" w:hAnsi="Times New Roman"/>
          <w:sz w:val="22"/>
          <w:szCs w:val="22"/>
        </w:rPr>
        <w:t xml:space="preserve">All supplies under this contract may </w:t>
      </w:r>
      <w:r w:rsidRPr="009656FB">
        <w:rPr>
          <w:rFonts w:ascii="Times New Roman" w:eastAsia="Calibri" w:hAnsi="Times New Roman"/>
          <w:noProof/>
          <w:sz w:val="22"/>
          <w:szCs w:val="22"/>
        </w:rPr>
        <w:t>originate from any country.</w:t>
      </w:r>
      <w:r w:rsidR="009656FB">
        <w:rPr>
          <w:rFonts w:ascii="Times New Roman" w:eastAsia="Calibri" w:hAnsi="Times New Roman"/>
          <w:noProof/>
          <w:sz w:val="22"/>
          <w:szCs w:val="22"/>
        </w:rPr>
        <w:t xml:space="preserve"> </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9" w:name="_Toc42488074"/>
      <w:r w:rsidRPr="00E82463">
        <w:lastRenderedPageBreak/>
        <w:t>Type of contract</w:t>
      </w:r>
      <w:bookmarkEnd w:id="9"/>
    </w:p>
    <w:p w:rsidR="0047783A" w:rsidRPr="00E82463" w:rsidRDefault="0047783A" w:rsidP="0047783A">
      <w:pPr>
        <w:pStyle w:val="Heading2"/>
        <w:keepNext w:val="0"/>
        <w:ind w:left="567"/>
        <w:jc w:val="both"/>
        <w:rPr>
          <w:rFonts w:ascii="Times New Roman" w:hAnsi="Times New Roman"/>
          <w:sz w:val="22"/>
          <w:lang w:val="en-GB"/>
        </w:rPr>
      </w:pPr>
      <w:r w:rsidRPr="009656FB">
        <w:rPr>
          <w:rFonts w:ascii="Times New Roman" w:hAnsi="Times New Roman"/>
          <w:sz w:val="22"/>
          <w:lang w:val="en-GB"/>
        </w:rPr>
        <w:t>lump sum</w:t>
      </w:r>
    </w:p>
    <w:p w:rsidR="0047783A" w:rsidRPr="00E82463" w:rsidRDefault="0047783A" w:rsidP="00A4424B">
      <w:pPr>
        <w:pStyle w:val="Heading1"/>
      </w:pPr>
      <w:bookmarkStart w:id="10" w:name="_Toc42488075"/>
      <w:r w:rsidRPr="00E82463">
        <w:t>Currency</w:t>
      </w:r>
      <w:bookmarkEnd w:id="10"/>
    </w:p>
    <w:p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9656FB">
        <w:rPr>
          <w:rFonts w:ascii="Times New Roman" w:hAnsi="Times New Roman"/>
          <w:bCs/>
          <w:sz w:val="22"/>
          <w:szCs w:val="22"/>
          <w:lang w:val="en-GB"/>
        </w:rPr>
        <w:t>E</w:t>
      </w:r>
      <w:r w:rsidRPr="009656FB">
        <w:rPr>
          <w:rFonts w:ascii="Times New Roman" w:hAnsi="Times New Roman"/>
          <w:bCs/>
          <w:sz w:val="22"/>
          <w:szCs w:val="22"/>
          <w:lang w:val="en-GB"/>
        </w:rPr>
        <w:t>uro</w:t>
      </w:r>
      <w:r w:rsidR="009656FB">
        <w:rPr>
          <w:rFonts w:ascii="Times New Roman" w:hAnsi="Times New Roman"/>
          <w:bCs/>
          <w:sz w:val="22"/>
          <w:szCs w:val="22"/>
          <w:lang w:val="en-GB"/>
        </w:rPr>
        <w:t>.</w:t>
      </w:r>
    </w:p>
    <w:p w:rsidR="0047783A" w:rsidRPr="00E82463" w:rsidRDefault="0047783A" w:rsidP="00A4424B">
      <w:pPr>
        <w:pStyle w:val="Heading1"/>
      </w:pPr>
      <w:bookmarkStart w:id="11" w:name="_Toc42488076"/>
      <w:r w:rsidRPr="00E82463">
        <w:t>Lots</w:t>
      </w:r>
      <w:bookmarkEnd w:id="11"/>
    </w:p>
    <w:p w:rsidR="0047783A" w:rsidRPr="00E82463" w:rsidRDefault="0047783A" w:rsidP="00E82463">
      <w:pPr>
        <w:ind w:left="567"/>
        <w:jc w:val="both"/>
        <w:rPr>
          <w:rFonts w:ascii="Times New Roman" w:hAnsi="Times New Roman"/>
          <w:sz w:val="22"/>
        </w:rPr>
      </w:pPr>
      <w:r w:rsidRPr="009656FB">
        <w:rPr>
          <w:rFonts w:ascii="Times New Roman" w:hAnsi="Times New Roman"/>
          <w:sz w:val="22"/>
        </w:rPr>
        <w:t>This tender proc</w:t>
      </w:r>
      <w:r w:rsidR="009656FB">
        <w:rPr>
          <w:rFonts w:ascii="Times New Roman" w:hAnsi="Times New Roman"/>
          <w:sz w:val="22"/>
        </w:rPr>
        <w:t>edure is not divided into lots.</w:t>
      </w:r>
    </w:p>
    <w:p w:rsidR="0047783A" w:rsidRPr="00E82463" w:rsidRDefault="0047783A" w:rsidP="00A4424B">
      <w:pPr>
        <w:pStyle w:val="Heading1"/>
      </w:pPr>
      <w:bookmarkStart w:id="12" w:name="_Toc42488077"/>
      <w:r w:rsidRPr="00E82463">
        <w:t>Period of validity</w:t>
      </w:r>
      <w:bookmarkEnd w:id="12"/>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w:t>
      </w:r>
      <w:r w:rsidR="009656FB">
        <w:rPr>
          <w:rFonts w:ascii="Times New Roman" w:hAnsi="Times New Roman"/>
          <w:sz w:val="22"/>
          <w:lang w:val="en-GB"/>
        </w:rPr>
        <w:t>their tenders for a period of 90</w:t>
      </w:r>
      <w:r w:rsidRPr="00E82463">
        <w:rPr>
          <w:rFonts w:ascii="Times New Roman" w:hAnsi="Times New Roman"/>
          <w:sz w:val="22"/>
          <w:lang w:val="en-GB"/>
        </w:rPr>
        <w:t xml:space="preserve">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3" w:name="_Toc42488078"/>
      <w:bookmarkStart w:id="14" w:name="_Ref500330462"/>
      <w:r w:rsidRPr="00E82463">
        <w:t xml:space="preserve">Language of </w:t>
      </w:r>
      <w:bookmarkEnd w:id="13"/>
      <w:r w:rsidR="009A3A53" w:rsidRPr="00E82463">
        <w:t>tenders</w:t>
      </w:r>
    </w:p>
    <w:bookmarkEnd w:id="14"/>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5" w:name="_Toc42488079"/>
      <w:r w:rsidRPr="00E82463">
        <w:t>Submission of tenders</w:t>
      </w:r>
      <w:bookmarkEnd w:id="15"/>
    </w:p>
    <w:p w:rsidR="0047783A" w:rsidRPr="00E82463" w:rsidRDefault="0047783A" w:rsidP="006E1DB1">
      <w:pPr>
        <w:pStyle w:val="Heading2"/>
        <w:keepNext w:val="0"/>
        <w:ind w:left="567" w:hanging="567"/>
        <w:jc w:val="both"/>
        <w:rPr>
          <w:rFonts w:ascii="Times New Roman" w:hAnsi="Times New Roman"/>
          <w:lang w:val="en-GB"/>
        </w:rPr>
      </w:pPr>
      <w:bookmarkStart w:id="16"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6"/>
    <w:p w:rsidR="009656FB" w:rsidRPr="00A8454C" w:rsidRDefault="009656FB" w:rsidP="009656FB">
      <w:pPr>
        <w:pStyle w:val="Blockquote"/>
        <w:ind w:right="26"/>
        <w:jc w:val="center"/>
        <w:rPr>
          <w:sz w:val="22"/>
          <w:szCs w:val="22"/>
        </w:rPr>
      </w:pPr>
      <w:r>
        <w:t xml:space="preserve">           </w:t>
      </w:r>
      <w:r w:rsidRPr="00A8454C">
        <w:rPr>
          <w:sz w:val="22"/>
          <w:szCs w:val="22"/>
        </w:rPr>
        <w:t xml:space="preserve">Archive at the Clinical </w:t>
      </w:r>
      <w:r>
        <w:rPr>
          <w:sz w:val="22"/>
          <w:szCs w:val="22"/>
        </w:rPr>
        <w:t>H</w:t>
      </w:r>
      <w:r w:rsidRPr="00A8454C">
        <w:rPr>
          <w:sz w:val="22"/>
          <w:szCs w:val="22"/>
        </w:rPr>
        <w:t>ospital</w:t>
      </w:r>
    </w:p>
    <w:p w:rsidR="009656FB" w:rsidRPr="00047892" w:rsidRDefault="009656FB" w:rsidP="009656FB">
      <w:pPr>
        <w:pStyle w:val="Blockquote"/>
        <w:ind w:right="26"/>
        <w:jc w:val="center"/>
        <w:rPr>
          <w:sz w:val="22"/>
          <w:szCs w:val="22"/>
        </w:rPr>
      </w:pPr>
      <w:r w:rsidRPr="00047892">
        <w:rPr>
          <w:sz w:val="22"/>
          <w:szCs w:val="22"/>
        </w:rPr>
        <w:t>bolnica.bitola@gmail.com</w:t>
      </w:r>
    </w:p>
    <w:p w:rsidR="009656FB" w:rsidRDefault="009656FB" w:rsidP="009656FB">
      <w:pPr>
        <w:pStyle w:val="Blockquote"/>
        <w:ind w:right="26"/>
        <w:jc w:val="center"/>
        <w:rPr>
          <w:sz w:val="22"/>
          <w:szCs w:val="22"/>
          <w:lang w:val="en-GB"/>
        </w:rPr>
      </w:pPr>
      <w:r>
        <w:rPr>
          <w:sz w:val="22"/>
          <w:szCs w:val="22"/>
          <w:lang w:val="en-GB"/>
        </w:rPr>
        <w:lastRenderedPageBreak/>
        <w:t>Project HEALTH-INFO</w:t>
      </w:r>
    </w:p>
    <w:p w:rsidR="009656FB" w:rsidRPr="00EB002D" w:rsidRDefault="009656FB" w:rsidP="009656FB">
      <w:pPr>
        <w:tabs>
          <w:tab w:val="left" w:pos="0"/>
          <w:tab w:val="left" w:pos="709"/>
          <w:tab w:val="left" w:pos="851"/>
          <w:tab w:val="left" w:pos="1134"/>
          <w:tab w:val="left" w:pos="1418"/>
        </w:tabs>
        <w:spacing w:before="240" w:after="240"/>
        <w:rPr>
          <w:lang w:val="en-US"/>
        </w:rPr>
      </w:pPr>
      <w:r w:rsidRPr="00EB002D">
        <w:rPr>
          <w:lang w:val="en-US"/>
        </w:rPr>
        <w:t xml:space="preserve">                                           </w:t>
      </w:r>
      <w:r>
        <w:rPr>
          <w:lang w:val="en-US"/>
        </w:rPr>
        <w:t xml:space="preserve">        Ref: C</w:t>
      </w:r>
      <w:r w:rsidR="0015249A">
        <w:rPr>
          <w:lang w:val="en-US"/>
        </w:rPr>
        <w:t>N1 – SO1.2 – SC036 Tender 5/2021</w:t>
      </w:r>
    </w:p>
    <w:p w:rsidR="009656FB" w:rsidRPr="00A8454C" w:rsidRDefault="009656FB" w:rsidP="009656FB">
      <w:pPr>
        <w:pStyle w:val="Blockquote"/>
        <w:ind w:right="26"/>
        <w:jc w:val="center"/>
        <w:rPr>
          <w:sz w:val="22"/>
          <w:szCs w:val="22"/>
          <w:lang w:val="en-GB"/>
        </w:rPr>
      </w:pPr>
      <w:r>
        <w:rPr>
          <w:sz w:val="22"/>
          <w:szCs w:val="22"/>
          <w:lang w:val="en-GB"/>
        </w:rPr>
        <w:t>Clinical H</w:t>
      </w:r>
      <w:r w:rsidRPr="00A8454C">
        <w:rPr>
          <w:sz w:val="22"/>
          <w:szCs w:val="22"/>
          <w:lang w:val="en-GB"/>
        </w:rPr>
        <w:t>ospital Bitola</w:t>
      </w:r>
    </w:p>
    <w:p w:rsidR="009656FB" w:rsidRDefault="009656FB" w:rsidP="009656FB">
      <w:pPr>
        <w:pStyle w:val="Blockquote"/>
        <w:ind w:right="26"/>
        <w:jc w:val="center"/>
        <w:rPr>
          <w:sz w:val="22"/>
          <w:szCs w:val="22"/>
          <w:lang w:val="en-GB"/>
        </w:rPr>
      </w:pPr>
      <w:r w:rsidRPr="00A8454C">
        <w:rPr>
          <w:sz w:val="22"/>
          <w:szCs w:val="22"/>
          <w:lang w:val="en-GB"/>
        </w:rPr>
        <w:t>ASNOM bb</w:t>
      </w:r>
      <w:r>
        <w:rPr>
          <w:sz w:val="22"/>
          <w:szCs w:val="22"/>
          <w:lang w:val="en-GB"/>
        </w:rPr>
        <w:t xml:space="preserve">,7000 </w:t>
      </w:r>
      <w:r w:rsidRPr="00A8454C">
        <w:rPr>
          <w:sz w:val="22"/>
          <w:szCs w:val="22"/>
          <w:lang w:val="en-GB"/>
        </w:rPr>
        <w:t xml:space="preserve"> Bitola</w:t>
      </w:r>
    </w:p>
    <w:p w:rsidR="0047783A" w:rsidRPr="00E82463" w:rsidRDefault="0047783A" w:rsidP="000D1B17">
      <w:pPr>
        <w:spacing w:before="0"/>
        <w:ind w:left="567"/>
        <w:jc w:val="both"/>
        <w:rPr>
          <w:rFonts w:ascii="Times New Roman" w:hAnsi="Times New Roman"/>
          <w:sz w:val="22"/>
        </w:rPr>
      </w:pPr>
    </w:p>
    <w:p w:rsidR="0047783A" w:rsidRDefault="0047783A" w:rsidP="000D1B17">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9656FB" w:rsidRPr="00A8454C" w:rsidRDefault="009656FB" w:rsidP="009656FB">
      <w:pPr>
        <w:pStyle w:val="Blockquote"/>
        <w:ind w:right="26"/>
        <w:jc w:val="center"/>
        <w:rPr>
          <w:sz w:val="22"/>
          <w:szCs w:val="22"/>
          <w:lang w:val="en-GB"/>
        </w:rPr>
      </w:pPr>
      <w:r>
        <w:rPr>
          <w:sz w:val="22"/>
          <w:szCs w:val="22"/>
          <w:lang w:val="en-GB"/>
        </w:rPr>
        <w:t>Clinical H</w:t>
      </w:r>
      <w:r w:rsidRPr="00A8454C">
        <w:rPr>
          <w:sz w:val="22"/>
          <w:szCs w:val="22"/>
          <w:lang w:val="en-GB"/>
        </w:rPr>
        <w:t>ospital Bitola</w:t>
      </w:r>
    </w:p>
    <w:p w:rsidR="009656FB" w:rsidRDefault="009656FB" w:rsidP="009656FB">
      <w:pPr>
        <w:pStyle w:val="Blockquote"/>
        <w:ind w:right="26"/>
        <w:jc w:val="center"/>
        <w:rPr>
          <w:sz w:val="22"/>
          <w:szCs w:val="22"/>
          <w:lang w:val="en-GB"/>
        </w:rPr>
      </w:pPr>
      <w:r w:rsidRPr="00A8454C">
        <w:rPr>
          <w:sz w:val="22"/>
          <w:szCs w:val="22"/>
          <w:lang w:val="en-GB"/>
        </w:rPr>
        <w:t>ASNOM bb</w:t>
      </w:r>
      <w:r>
        <w:rPr>
          <w:sz w:val="22"/>
          <w:szCs w:val="22"/>
          <w:lang w:val="en-GB"/>
        </w:rPr>
        <w:t xml:space="preserve">,7000 </w:t>
      </w:r>
      <w:r w:rsidRPr="00A8454C">
        <w:rPr>
          <w:sz w:val="22"/>
          <w:szCs w:val="22"/>
          <w:lang w:val="en-GB"/>
        </w:rPr>
        <w:t xml:space="preserve"> Bitola</w:t>
      </w:r>
    </w:p>
    <w:p w:rsidR="009656FB" w:rsidRPr="009656FB" w:rsidRDefault="009656FB" w:rsidP="009656FB">
      <w:pPr>
        <w:pStyle w:val="Blockquote"/>
        <w:ind w:right="26"/>
        <w:jc w:val="center"/>
        <w:rPr>
          <w:sz w:val="22"/>
          <w:szCs w:val="22"/>
          <w:lang w:val="en-GB"/>
        </w:rPr>
      </w:pPr>
      <w:r>
        <w:rPr>
          <w:sz w:val="22"/>
          <w:szCs w:val="22"/>
          <w:lang w:val="en-GB"/>
        </w:rPr>
        <w:t>7-15 h on working days</w:t>
      </w:r>
    </w:p>
    <w:p w:rsidR="0047783A" w:rsidRPr="00E82463" w:rsidRDefault="0047783A" w:rsidP="000D1B17">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rsidR="005B3C87" w:rsidRDefault="0047783A" w:rsidP="000D1B17">
      <w:pPr>
        <w:pStyle w:val="Heading2"/>
        <w:ind w:left="567" w:hanging="567"/>
        <w:jc w:val="both"/>
        <w:rPr>
          <w:rFonts w:ascii="Times New Roman" w:hAnsi="Times New Roman"/>
          <w:sz w:val="22"/>
          <w:lang w:val="en-GB"/>
        </w:rPr>
      </w:pPr>
      <w:bookmarkStart w:id="17"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009656FB">
        <w:rPr>
          <w:rFonts w:ascii="Times New Roman" w:hAnsi="Times New Roman"/>
          <w:sz w:val="22"/>
          <w:lang w:val="en-GB"/>
        </w:rPr>
        <w:t>, and 1 copy</w:t>
      </w:r>
      <w:r w:rsidRPr="00E82463">
        <w:rPr>
          <w:rFonts w:ascii="Times New Roman" w:hAnsi="Times New Roman"/>
          <w:sz w:val="22"/>
          <w:lang w:val="en-GB"/>
        </w:rPr>
        <w:t xml:space="preserve">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w:t>
      </w:r>
      <w:bookmarkEnd w:id="17"/>
    </w:p>
    <w:p w:rsidR="005B3C87" w:rsidRPr="00A8454C" w:rsidRDefault="0047783A" w:rsidP="005B3C87">
      <w:pPr>
        <w:pStyle w:val="Blockquote"/>
        <w:ind w:left="0" w:right="26"/>
        <w:rPr>
          <w:sz w:val="22"/>
          <w:szCs w:val="22"/>
          <w:lang w:val="en-GB"/>
        </w:rPr>
      </w:pPr>
      <w:r w:rsidRPr="00E82463">
        <w:rPr>
          <w:rFonts w:ascii="Times New Roman" w:hAnsi="Times New Roman"/>
          <w:sz w:val="22"/>
          <w:lang w:val="en-GB"/>
        </w:rPr>
        <w:t>10.3</w:t>
      </w:r>
      <w:r w:rsidRPr="00E82463">
        <w:rPr>
          <w:rFonts w:ascii="Times New Roman" w:hAnsi="Times New Roman"/>
          <w:sz w:val="22"/>
          <w:lang w:val="en-GB"/>
        </w:rPr>
        <w:tab/>
        <w:t xml:space="preserve">All tenders must be </w:t>
      </w:r>
      <w:r w:rsidR="00740F25">
        <w:rPr>
          <w:rFonts w:ascii="Times New Roman" w:hAnsi="Times New Roman"/>
          <w:sz w:val="22"/>
          <w:lang w:val="en-GB"/>
        </w:rPr>
        <w:t>submitted to</w:t>
      </w:r>
      <w:r w:rsidRPr="00E82463">
        <w:rPr>
          <w:rFonts w:ascii="Times New Roman" w:hAnsi="Times New Roman"/>
          <w:sz w:val="22"/>
          <w:lang w:val="en-GB"/>
        </w:rPr>
        <w:t xml:space="preserve"> </w:t>
      </w:r>
      <w:r w:rsidR="005B3C87">
        <w:rPr>
          <w:sz w:val="22"/>
          <w:szCs w:val="22"/>
          <w:lang w:val="en-GB"/>
        </w:rPr>
        <w:t>Clinical H</w:t>
      </w:r>
      <w:r w:rsidR="005B3C87" w:rsidRPr="00A8454C">
        <w:rPr>
          <w:sz w:val="22"/>
          <w:szCs w:val="22"/>
          <w:lang w:val="en-GB"/>
        </w:rPr>
        <w:t>ospital Bitola</w:t>
      </w:r>
    </w:p>
    <w:p w:rsidR="0086759F" w:rsidRPr="005B3C87" w:rsidRDefault="005B3C87" w:rsidP="005B3C87">
      <w:pPr>
        <w:pStyle w:val="Blockquote"/>
        <w:ind w:right="26"/>
        <w:jc w:val="center"/>
        <w:rPr>
          <w:sz w:val="22"/>
          <w:szCs w:val="22"/>
          <w:lang w:val="en-GB"/>
        </w:rPr>
      </w:pPr>
      <w:r w:rsidRPr="00A8454C">
        <w:rPr>
          <w:sz w:val="22"/>
          <w:szCs w:val="22"/>
          <w:lang w:val="en-GB"/>
        </w:rPr>
        <w:t>ASNOM bb</w:t>
      </w:r>
      <w:r>
        <w:rPr>
          <w:sz w:val="22"/>
          <w:szCs w:val="22"/>
          <w:lang w:val="en-GB"/>
        </w:rPr>
        <w:t xml:space="preserve">,7000 </w:t>
      </w:r>
      <w:r w:rsidRPr="00A8454C">
        <w:rPr>
          <w:sz w:val="22"/>
          <w:szCs w:val="22"/>
          <w:lang w:val="en-GB"/>
        </w:rPr>
        <w:t xml:space="preserve"> Bitola</w:t>
      </w:r>
      <w:r>
        <w:rPr>
          <w:sz w:val="22"/>
          <w:szCs w:val="22"/>
          <w:lang w:val="en-GB"/>
        </w:rPr>
        <w:t xml:space="preserve"> </w:t>
      </w:r>
      <w:r w:rsidR="00D8732D" w:rsidRPr="00E82463">
        <w:rPr>
          <w:rFonts w:ascii="Times New Roman" w:hAnsi="Times New Roman"/>
          <w:sz w:val="22"/>
          <w:lang w:val="en-GB"/>
        </w:rPr>
        <w:t xml:space="preserve"> </w:t>
      </w:r>
      <w:r w:rsidR="0047783A" w:rsidRPr="00E82463">
        <w:rPr>
          <w:rFonts w:ascii="Times New Roman" w:hAnsi="Times New Roman"/>
          <w:sz w:val="22"/>
          <w:lang w:val="en-GB"/>
        </w:rPr>
        <w:t xml:space="preserve">before the deadline </w:t>
      </w:r>
      <w:r w:rsidR="003F4BBC">
        <w:rPr>
          <w:rFonts w:ascii="Times New Roman" w:hAnsi="Times New Roman"/>
          <w:sz w:val="22"/>
          <w:lang w:val="en-GB"/>
        </w:rPr>
        <w:t>12</w:t>
      </w:r>
      <w:r>
        <w:rPr>
          <w:rFonts w:ascii="Times New Roman" w:hAnsi="Times New Roman"/>
          <w:sz w:val="22"/>
          <w:lang w:val="en-GB"/>
        </w:rPr>
        <w:t>.03.2021</w:t>
      </w:r>
      <w:r w:rsidR="0047783A" w:rsidRPr="00E82463">
        <w:rPr>
          <w:rFonts w:ascii="Times New Roman" w:hAnsi="Times New Roman"/>
          <w:sz w:val="22"/>
          <w:lang w:val="en-GB"/>
        </w:rPr>
        <w:t>,</w:t>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w:t>
      </w:r>
      <w:r w:rsidR="00B60082" w:rsidRPr="000D1B17">
        <w:rPr>
          <w:rFonts w:ascii="Times New Roman" w:hAnsi="Times New Roman"/>
          <w:sz w:val="22"/>
          <w:szCs w:val="22"/>
          <w:lang w:val="en-GB"/>
        </w:rPr>
        <w:t xml:space="preserve"> </w:t>
      </w:r>
      <w:r w:rsidRPr="000D1B17">
        <w:rPr>
          <w:rFonts w:ascii="Times New Roman" w:hAnsi="Times New Roman"/>
          <w:sz w:val="22"/>
          <w:szCs w:val="22"/>
          <w:lang w:val="en-GB"/>
        </w:rPr>
        <w:t>or jeopardise decisions already taken and notified</w:t>
      </w:r>
      <w:r w:rsidRPr="000D1B17">
        <w:rPr>
          <w:lang w:val="en-GB"/>
        </w:rPr>
        <w:t>.</w:t>
      </w:r>
    </w:p>
    <w:p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 (i.e. &lt;</w:t>
      </w:r>
      <w:r w:rsidRPr="000D1B17">
        <w:rPr>
          <w:rFonts w:ascii="Times New Roman" w:hAnsi="Times New Roman"/>
          <w:sz w:val="22"/>
          <w:highlight w:val="yellow"/>
          <w:lang w:val="en-GB"/>
        </w:rPr>
        <w:t>publication reference</w:t>
      </w:r>
      <w:r w:rsidRPr="000D1B17">
        <w:rPr>
          <w:rFonts w:ascii="Times New Roman" w:hAnsi="Times New Roman"/>
          <w:sz w:val="22"/>
          <w:lang w:val="en-GB"/>
        </w:rPr>
        <w:t>&gt;);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where applicable, the number of the lot(s) tendered for;</w:t>
      </w:r>
    </w:p>
    <w:p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w:t>
      </w:r>
      <w:r w:rsidR="005B3C87">
        <w:rPr>
          <w:rFonts w:ascii="Times New Roman" w:hAnsi="Times New Roman"/>
          <w:sz w:val="22"/>
          <w:lang w:val="en-IE"/>
        </w:rPr>
        <w:t>uage of the tender dossier and –ne otvaraj-</w:t>
      </w:r>
      <w:r w:rsidRPr="002B78A7">
        <w:rPr>
          <w:rFonts w:ascii="Times New Roman" w:hAnsi="Times New Roman"/>
          <w:sz w:val="22"/>
          <w:lang w:val="en-IE"/>
        </w:rPr>
        <w: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lastRenderedPageBreak/>
        <w:t>The technical and financial offers must be placed together in a sealed envelope. The envelope should then be placed in another single sealed envelope/package, unless their volume requires a separate submission for each lot.</w:t>
      </w:r>
    </w:p>
    <w:p w:rsidR="006E1DB1" w:rsidRPr="002B78A7" w:rsidRDefault="006E1DB1" w:rsidP="002B78A7">
      <w:pPr>
        <w:rPr>
          <w:lang w:val="en-IE"/>
        </w:rPr>
      </w:pPr>
    </w:p>
    <w:p w:rsidR="0047783A" w:rsidRPr="00E82463" w:rsidRDefault="0047783A" w:rsidP="00A4424B">
      <w:pPr>
        <w:pStyle w:val="Heading1"/>
      </w:pPr>
      <w:bookmarkStart w:id="18" w:name="_Toc42488080"/>
      <w:r w:rsidRPr="00E82463">
        <w:t>Content of tenders</w:t>
      </w:r>
      <w:bookmarkEnd w:id="18"/>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47783A" w:rsidRPr="00E82463" w:rsidRDefault="0047783A" w:rsidP="00C348C0">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 including if applicable</w:t>
      </w:r>
      <w:r w:rsidR="00B569B1" w:rsidRPr="00E82463">
        <w:rPr>
          <w:rFonts w:ascii="Times New Roman" w:hAnsi="Times New Roman"/>
          <w:sz w:val="22"/>
          <w:szCs w:val="22"/>
          <w:lang w:val="en-GB"/>
        </w:rPr>
        <w:t>:</w:t>
      </w:r>
    </w:p>
    <w:p w:rsidR="00555BFC" w:rsidRPr="005B3C87" w:rsidRDefault="005B3C87" w:rsidP="00637D16">
      <w:pPr>
        <w:numPr>
          <w:ilvl w:val="1"/>
          <w:numId w:val="10"/>
        </w:numPr>
        <w:spacing w:after="0"/>
        <w:ind w:hanging="306"/>
        <w:rPr>
          <w:rFonts w:ascii="Times New Roman" w:hAnsi="Times New Roman"/>
          <w:sz w:val="22"/>
          <w:szCs w:val="22"/>
        </w:rPr>
      </w:pPr>
      <w:r w:rsidRPr="00E82463">
        <w:rPr>
          <w:rFonts w:ascii="Times New Roman" w:hAnsi="Times New Roman"/>
          <w:sz w:val="22"/>
          <w:szCs w:val="22"/>
        </w:rPr>
        <w:t xml:space="preserve"> </w:t>
      </w:r>
      <w:r w:rsidR="0047783A" w:rsidRPr="005B3C87">
        <w:rPr>
          <w:rFonts w:ascii="Times New Roman" w:hAnsi="Times New Roman"/>
          <w:sz w:val="22"/>
          <w:szCs w:val="22"/>
        </w:rPr>
        <w:t>[a training proposal (indicate training needs)];</w:t>
      </w:r>
      <w:r w:rsidR="00633D3A" w:rsidRPr="005B3C87">
        <w:rPr>
          <w:rFonts w:ascii="Times New Roman" w:hAnsi="Times New Roman"/>
          <w:sz w:val="22"/>
          <w:szCs w:val="22"/>
        </w:rPr>
        <w:t xml:space="preserve"> </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47783A" w:rsidRPr="00E82463" w:rsidRDefault="0047783A" w:rsidP="0047783A">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Pr="005B3C87">
        <w:rPr>
          <w:rFonts w:ascii="Times New Roman" w:hAnsi="Times New Roman"/>
          <w:sz w:val="22"/>
          <w:szCs w:val="22"/>
          <w:lang w:val="en-GB"/>
        </w:rPr>
        <w:t>DDP</w:t>
      </w:r>
      <w:r w:rsidR="00463F73">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 including if applicable:</w:t>
      </w:r>
    </w:p>
    <w:p w:rsidR="0047783A" w:rsidRDefault="005B3C87" w:rsidP="0047783A">
      <w:pPr>
        <w:numPr>
          <w:ilvl w:val="1"/>
          <w:numId w:val="10"/>
        </w:numPr>
        <w:spacing w:after="0"/>
        <w:ind w:hanging="306"/>
        <w:rPr>
          <w:rFonts w:ascii="Times New Roman" w:hAnsi="Times New Roman"/>
          <w:sz w:val="22"/>
          <w:szCs w:val="22"/>
        </w:rPr>
      </w:pPr>
      <w:r w:rsidRPr="005B3C87">
        <w:rPr>
          <w:rFonts w:ascii="Times New Roman" w:hAnsi="Times New Roman"/>
          <w:sz w:val="22"/>
          <w:szCs w:val="22"/>
        </w:rPr>
        <w:t xml:space="preserve"> </w:t>
      </w:r>
      <w:r w:rsidR="0047783A" w:rsidRPr="005B3C87">
        <w:rPr>
          <w:rFonts w:ascii="Times New Roman" w:hAnsi="Times New Roman"/>
          <w:sz w:val="22"/>
          <w:szCs w:val="22"/>
        </w:rPr>
        <w:t xml:space="preserve"> proposal for training</w:t>
      </w:r>
      <w:r>
        <w:rPr>
          <w:rFonts w:ascii="Times New Roman" w:hAnsi="Times New Roman"/>
          <w:sz w:val="22"/>
          <w:szCs w:val="22"/>
        </w:rPr>
        <w:t xml:space="preserve"> to be included in the price.</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931C6D" w:rsidRPr="00E82463" w:rsidRDefault="00931C6D" w:rsidP="00931C6D">
      <w:pPr>
        <w:numPr>
          <w:ilvl w:val="0"/>
          <w:numId w:val="6"/>
        </w:numPr>
        <w:tabs>
          <w:tab w:val="num" w:pos="1134"/>
        </w:tabs>
        <w:spacing w:after="0"/>
        <w:ind w:left="1134" w:hanging="567"/>
        <w:jc w:val="both"/>
        <w:rPr>
          <w:rFonts w:ascii="Times New Roman" w:hAnsi="Times New Roman"/>
          <w:sz w:val="22"/>
          <w:szCs w:val="22"/>
        </w:rPr>
      </w:pPr>
      <w:r w:rsidRPr="00B71A65">
        <w:rPr>
          <w:rFonts w:ascii="Times New Roman" w:hAnsi="Times New Roman"/>
          <w:sz w:val="22"/>
          <w:szCs w:val="22"/>
        </w:rPr>
        <w:t>The original, signed tender guarantee, for 100</w:t>
      </w:r>
      <w:r>
        <w:rPr>
          <w:rFonts w:ascii="Times New Roman" w:hAnsi="Times New Roman"/>
          <w:sz w:val="22"/>
          <w:szCs w:val="22"/>
        </w:rPr>
        <w:t xml:space="preserve"> Eur</w:t>
      </w:r>
    </w:p>
    <w:p w:rsidR="0047783A" w:rsidRPr="00E82463" w:rsidRDefault="0047783A" w:rsidP="00AC07D4">
      <w:pPr>
        <w:numPr>
          <w:ilvl w:val="0"/>
          <w:numId w:val="6"/>
        </w:numPr>
        <w:tabs>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description of the warranty cond</w:t>
      </w:r>
      <w:r w:rsidRPr="00A6452B">
        <w:rPr>
          <w:rFonts w:ascii="Times New Roman" w:hAnsi="Times New Roman"/>
          <w:sz w:val="22"/>
          <w:szCs w:val="22"/>
        </w:rPr>
        <w:t>i</w:t>
      </w:r>
      <w:r w:rsidRPr="00E82463">
        <w:rPr>
          <w:rFonts w:ascii="Times New Roman" w:hAnsi="Times New Roman"/>
          <w:sz w:val="22"/>
          <w:szCs w:val="22"/>
        </w:rPr>
        <w:t xml:space="preserve">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rsidR="0047783A" w:rsidRPr="00CD2A02" w:rsidRDefault="0047783A" w:rsidP="00AC07D4">
      <w:pPr>
        <w:numPr>
          <w:ilvl w:val="0"/>
          <w:numId w:val="6"/>
        </w:numPr>
        <w:tabs>
          <w:tab w:val="num" w:pos="1134"/>
        </w:tabs>
        <w:spacing w:after="0"/>
        <w:ind w:left="1135" w:hanging="568"/>
        <w:jc w:val="both"/>
        <w:rPr>
          <w:rFonts w:ascii="Times New Roman" w:hAnsi="Times New Roman"/>
          <w:sz w:val="22"/>
          <w:szCs w:val="22"/>
        </w:rPr>
      </w:pPr>
      <w:r w:rsidRPr="00CD2A02">
        <w:rPr>
          <w:rFonts w:ascii="Times New Roman" w:hAnsi="Times New Roman"/>
          <w:sz w:val="22"/>
          <w:szCs w:val="22"/>
          <w:shd w:val="clear" w:color="auto" w:fill="D9D9D9"/>
        </w:rPr>
        <w:t xml:space="preserve">A description of the organisation of the commercial warranty tendered in accordance with the conditions laid down in Article 32 of the </w:t>
      </w:r>
      <w:r w:rsidR="005C1201" w:rsidRPr="00CD2A02">
        <w:rPr>
          <w:rFonts w:ascii="Times New Roman" w:hAnsi="Times New Roman"/>
          <w:sz w:val="22"/>
          <w:szCs w:val="22"/>
          <w:shd w:val="clear" w:color="auto" w:fill="D9D9D9"/>
        </w:rPr>
        <w:t>s</w:t>
      </w:r>
      <w:r w:rsidRPr="00CD2A02">
        <w:rPr>
          <w:rFonts w:ascii="Times New Roman" w:hAnsi="Times New Roman"/>
          <w:sz w:val="22"/>
          <w:szCs w:val="22"/>
          <w:shd w:val="clear" w:color="auto" w:fill="D9D9D9"/>
        </w:rPr>
        <w:t xml:space="preserve">pecial </w:t>
      </w:r>
      <w:r w:rsidR="005C1201" w:rsidRPr="00CD2A02">
        <w:rPr>
          <w:rFonts w:ascii="Times New Roman" w:hAnsi="Times New Roman"/>
          <w:sz w:val="22"/>
          <w:szCs w:val="22"/>
          <w:shd w:val="clear" w:color="auto" w:fill="D9D9D9"/>
        </w:rPr>
        <w:t>c</w:t>
      </w:r>
      <w:r w:rsidRPr="00CD2A02">
        <w:rPr>
          <w:rFonts w:ascii="Times New Roman" w:hAnsi="Times New Roman"/>
          <w:sz w:val="22"/>
          <w:szCs w:val="22"/>
          <w:shd w:val="clear" w:color="auto" w:fill="D9D9D9"/>
        </w:rPr>
        <w:t>onditions</w:t>
      </w:r>
      <w:r w:rsidRPr="00CD2A02">
        <w:rPr>
          <w:rFonts w:ascii="Times New Roman" w:hAnsi="Times New Roman"/>
          <w:sz w:val="22"/>
          <w:szCs w:val="22"/>
        </w:rPr>
        <w:t>]</w:t>
      </w:r>
    </w:p>
    <w:p w:rsidR="0047783A" w:rsidRPr="00A6452B" w:rsidRDefault="0047783A" w:rsidP="00CD2A02">
      <w:pPr>
        <w:tabs>
          <w:tab w:val="num" w:pos="1134"/>
        </w:tabs>
        <w:spacing w:after="0"/>
        <w:ind w:left="1135"/>
        <w:jc w:val="both"/>
        <w:rPr>
          <w:rFonts w:ascii="Times New Roman" w:hAnsi="Times New Roman"/>
          <w:sz w:val="22"/>
          <w:szCs w:val="22"/>
        </w:rPr>
      </w:pPr>
    </w:p>
    <w:p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lastRenderedPageBreak/>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0D66C0" w:rsidRDefault="000D66C0" w:rsidP="0047783A">
      <w:pPr>
        <w:spacing w:after="0"/>
        <w:ind w:left="567"/>
        <w:jc w:val="both"/>
        <w:outlineLvl w:val="0"/>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9"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rsidR="0047783A" w:rsidRPr="00E82463" w:rsidRDefault="0047783A" w:rsidP="00A4424B">
      <w:pPr>
        <w:pStyle w:val="Heading1"/>
      </w:pPr>
      <w:bookmarkStart w:id="19" w:name="_Toc42488081"/>
      <w:r w:rsidRPr="00E82463">
        <w:t>Taxes and other charges</w:t>
      </w:r>
      <w:bookmarkEnd w:id="19"/>
    </w:p>
    <w:p w:rsidR="0047783A"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CD2A02" w:rsidRPr="008F27F5" w:rsidRDefault="00CD2A02" w:rsidP="00CD2A02">
      <w:pPr>
        <w:rPr>
          <w:rFonts w:ascii="Times New Roman" w:hAnsi="Times New Roman"/>
          <w:sz w:val="22"/>
          <w:szCs w:val="22"/>
        </w:rPr>
      </w:pPr>
      <w:r w:rsidRPr="008F27F5">
        <w:rPr>
          <w:rFonts w:ascii="Times New Roman" w:hAnsi="Times New Roman"/>
          <w:sz w:val="22"/>
          <w:szCs w:val="22"/>
        </w:rPr>
        <w:t>The European Commission and the Beneficiary Country have agreed in the Framework   Agreement between the Government of the Beneficiary Country and the European Communities on the rules for cooperation concerning EC financial Assistance to the Beneficiary Country in the Framework of the Implementation of the Assistance under the Instrument for Pre-Accession Assistance (IPA) that taxes, customs and import duties or other charges having equivalent effect are not eligible under IPA.</w:t>
      </w:r>
    </w:p>
    <w:p w:rsidR="00CD2A02" w:rsidRPr="008F27F5" w:rsidRDefault="00CD2A02" w:rsidP="00CD2A02">
      <w:pPr>
        <w:rPr>
          <w:rFonts w:ascii="Times New Roman" w:hAnsi="Times New Roman"/>
          <w:sz w:val="22"/>
          <w:szCs w:val="22"/>
          <w:lang w:val="mk-MK"/>
        </w:rPr>
      </w:pPr>
      <w:r w:rsidRPr="008F27F5">
        <w:rPr>
          <w:rFonts w:ascii="Times New Roman" w:hAnsi="Times New Roman"/>
          <w:sz w:val="22"/>
          <w:szCs w:val="22"/>
        </w:rPr>
        <w:t>The Contractor is encouraged to register the project within the Central Donor Assistance Database (CDAD) in the Government, the Secretariat for European Affairs, which is necessary for exemption from payment of customs and other duties as well as for the reimbursement of the VAT for the project needs. Furthermore, each EU funded project should be also registered in the Central register at the Protocol Department within the Ministry of Foreign Affairs (MFA) and in the Public Revenue Office. The registration of the project is the sole responsibility of the Contractor.</w:t>
      </w:r>
    </w:p>
    <w:p w:rsidR="00CD2A02" w:rsidRPr="008F27F5" w:rsidRDefault="00CD2A02" w:rsidP="00CD2A02">
      <w:pPr>
        <w:rPr>
          <w:rFonts w:ascii="Times New Roman" w:hAnsi="Times New Roman"/>
          <w:sz w:val="22"/>
          <w:szCs w:val="22"/>
          <w:lang w:val="mk-MK"/>
        </w:rPr>
      </w:pPr>
      <w:r w:rsidRPr="008F27F5">
        <w:rPr>
          <w:rFonts w:ascii="Times New Roman" w:hAnsi="Times New Roman"/>
          <w:sz w:val="22"/>
          <w:szCs w:val="22"/>
        </w:rPr>
        <w:t xml:space="preserve">Details on the tax exemption procedure can be found on the following link: </w:t>
      </w:r>
      <w:hyperlink r:id="rId10" w:anchor=".UkQX9H9LgdU" w:history="1">
        <w:r w:rsidRPr="008F27F5">
          <w:rPr>
            <w:rFonts w:ascii="Times New Roman" w:hAnsi="Times New Roman"/>
            <w:sz w:val="22"/>
            <w:szCs w:val="22"/>
          </w:rPr>
          <w:t>http://www.sep.gov.mk/en/content/?id=97#.UkQX9H9LgdU</w:t>
        </w:r>
      </w:hyperlink>
    </w:p>
    <w:p w:rsidR="00CD2A02" w:rsidRPr="005D1003" w:rsidRDefault="00CD2A02" w:rsidP="00CD2A02">
      <w:pPr>
        <w:rPr>
          <w:lang w:val="mk-MK"/>
        </w:rPr>
      </w:pPr>
    </w:p>
    <w:p w:rsidR="00CD2A02" w:rsidRPr="00CD2A02" w:rsidRDefault="00CD2A02" w:rsidP="00CD2A02"/>
    <w:p w:rsidR="0047783A" w:rsidRPr="00C348C0" w:rsidRDefault="0047783A" w:rsidP="00A4424B">
      <w:pPr>
        <w:pStyle w:val="Heading1"/>
        <w:rPr>
          <w:lang w:val="en-GB"/>
        </w:rPr>
      </w:pPr>
      <w:bookmarkStart w:id="20" w:name="_Toc42488082"/>
      <w:r w:rsidRPr="00C348C0">
        <w:rPr>
          <w:lang w:val="en-GB"/>
        </w:rPr>
        <w:t>Additional information before the deadline for submission of tenders</w:t>
      </w:r>
      <w:bookmarkEnd w:id="20"/>
    </w:p>
    <w:p w:rsidR="00C976DE" w:rsidRPr="002B78A7" w:rsidRDefault="00C976DE" w:rsidP="003F4BBC">
      <w:pPr>
        <w:spacing w:before="0" w:afterLines="60"/>
        <w:ind w:left="567"/>
        <w:jc w:val="both"/>
        <w:rPr>
          <w:rFonts w:ascii="Times New Roman" w:hAnsi="Times New Roman"/>
          <w:sz w:val="22"/>
        </w:rPr>
      </w:pPr>
      <w:r w:rsidRPr="002B78A7">
        <w:rPr>
          <w:rFonts w:ascii="Times New Roman" w:hAnsi="Times New Roman"/>
          <w:sz w:val="22"/>
        </w:rPr>
        <w:t xml:space="preserve">Any request for additional information must be made in writing through the TED eTendering website accessible through the F&amp;T portal at </w:t>
      </w:r>
      <w:hyperlink r:id="rId11" w:history="1">
        <w:r w:rsidRPr="002B78A7">
          <w:rPr>
            <w:rStyle w:val="Hyperlink"/>
            <w:rFonts w:ascii="Times New Roman" w:hAnsi="Times New Roman"/>
            <w:sz w:val="22"/>
            <w:szCs w:val="22"/>
          </w:rPr>
          <w:t>https://ec.europa.eu/info/funding-tenders/opportunities/portal/screen/home</w:t>
        </w:r>
      </w:hyperlink>
      <w:r w:rsidR="002B78A7">
        <w:rPr>
          <w:rFonts w:ascii="Times New Roman" w:hAnsi="Times New Roman"/>
        </w:rPr>
        <w:t xml:space="preserve"> </w:t>
      </w:r>
      <w:r w:rsidRPr="002B78A7">
        <w:rPr>
          <w:rFonts w:ascii="Times New Roman" w:hAnsi="Times New Roman"/>
        </w:rPr>
        <w:t xml:space="preserve">. </w:t>
      </w:r>
      <w:r w:rsidRPr="002B78A7">
        <w:rPr>
          <w:rFonts w:ascii="Times New Roman" w:hAnsi="Times New Roman"/>
          <w:sz w:val="22"/>
        </w:rPr>
        <w:t>Registration on TED eTendering is required to be able to create and submit a question. Additional information can be requested by clicking “Create a question</w:t>
      </w:r>
      <w:bookmarkStart w:id="21" w:name="_GoBack"/>
      <w:bookmarkEnd w:id="21"/>
      <w:r w:rsidRPr="002B78A7">
        <w:rPr>
          <w:rFonts w:ascii="Times New Roman" w:hAnsi="Times New Roman"/>
          <w:sz w:val="22"/>
        </w:rPr>
        <w:t xml:space="preserve">” in the Questions&amp;Answers tab at the latest 21 days before the deadline for submission of tenders stated at section </w:t>
      </w:r>
      <w:r w:rsidRPr="002B78A7">
        <w:rPr>
          <w:rFonts w:ascii="Times New Roman" w:hAnsi="Times New Roman"/>
          <w:b/>
          <w:sz w:val="22"/>
        </w:rPr>
        <w:t>IV.2.2) of the contract notice</w:t>
      </w:r>
      <w:r w:rsidRPr="002B78A7">
        <w:rPr>
          <w:rFonts w:ascii="Times New Roman" w:hAnsi="Times New Roman"/>
          <w:sz w:val="22"/>
        </w:rPr>
        <w:t>.</w:t>
      </w:r>
    </w:p>
    <w:p w:rsidR="00C976DE" w:rsidRPr="00C976DE"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rsidR="0047783A" w:rsidRPr="00C976DE" w:rsidRDefault="0047783A" w:rsidP="00C976DE">
      <w:pPr>
        <w:pStyle w:val="BodyText"/>
        <w:ind w:left="567"/>
        <w:jc w:val="both"/>
        <w:rPr>
          <w:rFonts w:ascii="Times New Roman" w:hAnsi="Times New Roman"/>
          <w:sz w:val="22"/>
        </w:rPr>
      </w:pPr>
      <w:r w:rsidRPr="00C976DE">
        <w:rPr>
          <w:rFonts w:ascii="Times New Roman" w:hAnsi="Times New Roman"/>
          <w:sz w:val="22"/>
        </w:rPr>
        <w:t xml:space="preserve">Any clarification of the tender dossier </w:t>
      </w:r>
      <w:r w:rsidR="004F6EE9" w:rsidRPr="00C976DE">
        <w:rPr>
          <w:rFonts w:ascii="Times New Roman" w:hAnsi="Times New Roman"/>
          <w:sz w:val="22"/>
        </w:rPr>
        <w:t xml:space="preserve">will be published on TED eTendering </w:t>
      </w:r>
      <w:r w:rsidRPr="00FA7BA5">
        <w:rPr>
          <w:rFonts w:ascii="Times New Roman" w:hAnsi="Times New Roman"/>
          <w:sz w:val="22"/>
        </w:rPr>
        <w:t>[</w:t>
      </w:r>
      <w:r w:rsidRPr="002B78A7">
        <w:rPr>
          <w:rFonts w:ascii="Times New Roman" w:hAnsi="Times New Roman"/>
          <w:sz w:val="22"/>
        </w:rPr>
        <w:t>and</w:t>
      </w:r>
      <w:r w:rsidRPr="00E82463">
        <w:rPr>
          <w:rFonts w:ascii="Times New Roman" w:hAnsi="Times New Roman"/>
          <w:sz w:val="22"/>
        </w:rPr>
        <w:t xml:space="preserve"> </w:t>
      </w:r>
      <w:r w:rsidRPr="002B78A7">
        <w:rPr>
          <w:rFonts w:ascii="Times New Roman" w:hAnsi="Times New Roman"/>
          <w:sz w:val="22"/>
          <w:highlight w:val="yellow"/>
        </w:rPr>
        <w:t>&lt;</w:t>
      </w:r>
      <w:r w:rsidRPr="00C976DE">
        <w:rPr>
          <w:rFonts w:ascii="Times New Roman" w:hAnsi="Times New Roman"/>
          <w:sz w:val="22"/>
          <w:highlight w:val="yellow"/>
        </w:rPr>
        <w:t>enter relevant media</w:t>
      </w:r>
      <w:r w:rsidRPr="002B78A7">
        <w:rPr>
          <w:rFonts w:ascii="Times New Roman" w:hAnsi="Times New Roman"/>
          <w:sz w:val="22"/>
          <w:highlight w:val="yellow"/>
        </w:rPr>
        <w:t>&gt;</w:t>
      </w:r>
      <w:r w:rsidRPr="00E82463">
        <w:rPr>
          <w:rFonts w:ascii="Times New Roman" w:hAnsi="Times New Roman"/>
          <w:sz w:val="22"/>
        </w:rPr>
        <w:t>] at the latest 11 days before the deadline for submission of tenders.</w:t>
      </w:r>
      <w:r w:rsidR="00C976DE" w:rsidRPr="002B78A7">
        <w:rPr>
          <w:rFonts w:ascii="Times New Roman" w:hAnsi="Times New Roman"/>
          <w:sz w:val="22"/>
        </w:rPr>
        <w:t xml:space="preserve"> The website will be updated regularly and it is the tenderer’s responsibility to check for updates and modifications during the submission period.</w:t>
      </w:r>
    </w:p>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E82463" w:rsidRDefault="0047783A" w:rsidP="00A4424B">
      <w:pPr>
        <w:pStyle w:val="Heading1"/>
      </w:pPr>
      <w:bookmarkStart w:id="22" w:name="_Toc42488083"/>
      <w:r w:rsidRPr="00E82463">
        <w:lastRenderedPageBreak/>
        <w:t>Clarification meeting / site visit</w:t>
      </w:r>
      <w:bookmarkEnd w:id="22"/>
    </w:p>
    <w:p w:rsidR="0047783A" w:rsidRPr="00CD2A02" w:rsidRDefault="00CD2A02" w:rsidP="00AC07D4">
      <w:pPr>
        <w:pStyle w:val="BodyText"/>
        <w:ind w:left="567" w:hanging="567"/>
        <w:rPr>
          <w:rFonts w:ascii="Times New Roman" w:hAnsi="Times New Roman"/>
          <w:sz w:val="22"/>
          <w:szCs w:val="22"/>
        </w:rPr>
      </w:pPr>
      <w:r>
        <w:rPr>
          <w:rFonts w:ascii="Times New Roman" w:hAnsi="Times New Roman"/>
          <w:sz w:val="22"/>
          <w:szCs w:val="22"/>
        </w:rPr>
        <w:t>13</w:t>
      </w:r>
      <w:r w:rsidR="0047783A" w:rsidRPr="00CD2A02">
        <w:rPr>
          <w:rFonts w:ascii="Times New Roman" w:hAnsi="Times New Roman"/>
          <w:sz w:val="22"/>
          <w:szCs w:val="22"/>
        </w:rPr>
        <w:t>.1</w:t>
      </w:r>
      <w:r w:rsidR="0047783A" w:rsidRPr="00CD2A02">
        <w:rPr>
          <w:rFonts w:ascii="Times New Roman" w:hAnsi="Times New Roman"/>
          <w:sz w:val="22"/>
          <w:szCs w:val="22"/>
        </w:rPr>
        <w:tab/>
        <w:t>No clarification meeting / site visit planned. Visits by individual prospective tenderers during the tend</w:t>
      </w:r>
      <w:r>
        <w:rPr>
          <w:rFonts w:ascii="Times New Roman" w:hAnsi="Times New Roman"/>
          <w:sz w:val="22"/>
          <w:szCs w:val="22"/>
        </w:rPr>
        <w:t xml:space="preserve">er period cannot be organised. </w:t>
      </w:r>
    </w:p>
    <w:p w:rsidR="0047783A" w:rsidRPr="00E82463" w:rsidRDefault="0047783A" w:rsidP="00A4424B">
      <w:pPr>
        <w:pStyle w:val="Heading1"/>
      </w:pPr>
      <w:bookmarkStart w:id="23" w:name="_Toc42488084"/>
      <w:r w:rsidRPr="00E82463">
        <w:t>Alteration or withdrawal of tenders</w:t>
      </w:r>
      <w:bookmarkEnd w:id="23"/>
    </w:p>
    <w:p w:rsidR="0047783A" w:rsidRPr="00E82463" w:rsidRDefault="00CD2A02" w:rsidP="0047783A">
      <w:pPr>
        <w:pStyle w:val="Heading2"/>
        <w:keepLines/>
        <w:ind w:left="567" w:hanging="567"/>
        <w:jc w:val="both"/>
        <w:rPr>
          <w:rFonts w:ascii="Times New Roman" w:hAnsi="Times New Roman"/>
          <w:lang w:val="en-GB"/>
        </w:rPr>
      </w:pPr>
      <w:r>
        <w:rPr>
          <w:rFonts w:ascii="Times New Roman" w:hAnsi="Times New Roman"/>
          <w:sz w:val="22"/>
          <w:lang w:val="en-GB"/>
        </w:rPr>
        <w:t>14</w:t>
      </w:r>
      <w:r w:rsidR="0047783A" w:rsidRPr="00E82463">
        <w:rPr>
          <w:rFonts w:ascii="Times New Roman" w:hAnsi="Times New Roman"/>
          <w:sz w:val="22"/>
          <w:lang w:val="en-GB"/>
        </w:rPr>
        <w:t>.1</w:t>
      </w:r>
      <w:r w:rsidR="0047783A"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CD2A02" w:rsidP="0047783A">
      <w:pPr>
        <w:pStyle w:val="Heading2"/>
        <w:keepNext w:val="0"/>
        <w:ind w:left="567" w:hanging="567"/>
        <w:jc w:val="both"/>
        <w:rPr>
          <w:rFonts w:ascii="Times New Roman" w:hAnsi="Times New Roman"/>
          <w:lang w:val="en-GB"/>
        </w:rPr>
      </w:pPr>
      <w:r>
        <w:rPr>
          <w:rFonts w:ascii="Times New Roman" w:hAnsi="Times New Roman"/>
          <w:sz w:val="22"/>
          <w:lang w:val="en-GB"/>
        </w:rPr>
        <w:t>14</w:t>
      </w:r>
      <w:r w:rsidR="0047783A" w:rsidRPr="00E82463">
        <w:rPr>
          <w:rFonts w:ascii="Times New Roman" w:hAnsi="Times New Roman"/>
          <w:sz w:val="22"/>
          <w:lang w:val="en-GB"/>
        </w:rPr>
        <w:t>.2</w:t>
      </w:r>
      <w:r w:rsidR="0047783A"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0047783A" w:rsidRPr="00E82463">
        <w:rPr>
          <w:rFonts w:ascii="Times New Roman" w:hAnsi="Times New Roman"/>
          <w:sz w:val="22"/>
          <w:lang w:val="en-GB"/>
        </w:rPr>
        <w:t>Alteration</w:t>
      </w:r>
      <w:r w:rsidR="006A5F84" w:rsidRPr="00E82463">
        <w:rPr>
          <w:rFonts w:ascii="Times New Roman" w:hAnsi="Times New Roman"/>
          <w:sz w:val="22"/>
          <w:lang w:val="en-GB"/>
        </w:rPr>
        <w:t>’</w:t>
      </w:r>
      <w:r w:rsidR="0047783A" w:rsidRPr="00E82463">
        <w:rPr>
          <w:rFonts w:ascii="Times New Roman" w:hAnsi="Times New Roman"/>
          <w:sz w:val="22"/>
          <w:lang w:val="en-GB"/>
        </w:rPr>
        <w:t xml:space="preserve"> or </w:t>
      </w:r>
      <w:r w:rsidR="006A5F84" w:rsidRPr="00E82463">
        <w:rPr>
          <w:rFonts w:ascii="Times New Roman" w:hAnsi="Times New Roman"/>
          <w:sz w:val="22"/>
          <w:lang w:val="en-GB"/>
        </w:rPr>
        <w:t>‘</w:t>
      </w:r>
      <w:r w:rsidR="0047783A" w:rsidRPr="00E82463">
        <w:rPr>
          <w:rFonts w:ascii="Times New Roman" w:hAnsi="Times New Roman"/>
          <w:sz w:val="22"/>
          <w:lang w:val="en-GB"/>
        </w:rPr>
        <w:t>Withdrawal</w:t>
      </w:r>
      <w:r w:rsidR="006A5F84" w:rsidRPr="00E82463">
        <w:rPr>
          <w:rFonts w:ascii="Times New Roman" w:hAnsi="Times New Roman"/>
          <w:sz w:val="22"/>
          <w:lang w:val="en-GB"/>
        </w:rPr>
        <w:t>’</w:t>
      </w:r>
      <w:r w:rsidR="0047783A" w:rsidRPr="00E82463">
        <w:rPr>
          <w:rFonts w:ascii="Times New Roman" w:hAnsi="Times New Roman"/>
          <w:sz w:val="22"/>
          <w:lang w:val="en-GB"/>
        </w:rPr>
        <w:t xml:space="preserve"> as appropriate.</w:t>
      </w:r>
    </w:p>
    <w:p w:rsidR="0047783A" w:rsidRPr="00E82463" w:rsidRDefault="00CD2A02" w:rsidP="0047783A">
      <w:pPr>
        <w:pStyle w:val="Heading2"/>
        <w:keepNext w:val="0"/>
        <w:ind w:left="567" w:hanging="567"/>
        <w:jc w:val="both"/>
        <w:rPr>
          <w:rFonts w:ascii="Times New Roman" w:hAnsi="Times New Roman"/>
          <w:lang w:val="en-GB"/>
        </w:rPr>
      </w:pPr>
      <w:r>
        <w:rPr>
          <w:rFonts w:ascii="Times New Roman" w:hAnsi="Times New Roman"/>
          <w:sz w:val="22"/>
          <w:lang w:val="en-GB"/>
        </w:rPr>
        <w:t>14</w:t>
      </w:r>
      <w:r w:rsidR="0047783A" w:rsidRPr="00E82463">
        <w:rPr>
          <w:rFonts w:ascii="Times New Roman" w:hAnsi="Times New Roman"/>
          <w:sz w:val="22"/>
          <w:lang w:val="en-GB"/>
        </w:rPr>
        <w:t>.3</w:t>
      </w:r>
      <w:r w:rsidR="0047783A"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4" w:name="_Toc42488085"/>
      <w:r w:rsidRPr="00E82463">
        <w:t>Costs of preparing tenders</w:t>
      </w:r>
      <w:bookmarkEnd w:id="24"/>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5" w:name="_Toc42488086"/>
      <w:r w:rsidRPr="00E82463">
        <w:t>Ownership of tenders</w:t>
      </w:r>
      <w:bookmarkEnd w:id="25"/>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6" w:name="_Toc42488087"/>
      <w:r w:rsidRPr="00E82463">
        <w:t>Joint venture or consortium</w:t>
      </w:r>
      <w:bookmarkEnd w:id="26"/>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27" w:name="_Toc42488088"/>
      <w:r w:rsidRPr="00E82463">
        <w:lastRenderedPageBreak/>
        <w:t>Opening of tenders</w:t>
      </w:r>
      <w:bookmarkEnd w:id="27"/>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w:t>
      </w:r>
      <w:r w:rsidR="008F27F5">
        <w:rPr>
          <w:rFonts w:ascii="Times New Roman" w:hAnsi="Times New Roman"/>
          <w:sz w:val="22"/>
          <w:lang w:val="en-GB"/>
        </w:rPr>
        <w:t>be opened in public session on 19.03.2021 at Clinical hospital Bitola</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28" w:name="_Toc42488089"/>
      <w:r w:rsidRPr="00E82463">
        <w:t>Evaluation of tenders</w:t>
      </w:r>
      <w:bookmarkEnd w:id="28"/>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29"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lastRenderedPageBreak/>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29"/>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82463" w:rsidRDefault="0047783A" w:rsidP="0047783A">
      <w:pPr>
        <w:ind w:left="567" w:firstLine="11"/>
        <w:jc w:val="both"/>
        <w:outlineLvl w:val="0"/>
        <w:rPr>
          <w:rFonts w:ascii="Times New Roman" w:hAnsi="Times New Roman"/>
        </w:rPr>
      </w:pPr>
      <w:r w:rsidRPr="008F27F5">
        <w:rPr>
          <w:rFonts w:ascii="Times New Roman" w:hAnsi="Times New Roman"/>
          <w:sz w:val="22"/>
        </w:rPr>
        <w:t>The sole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30" w:name="_Toc41467298"/>
      <w:bookmarkStart w:id="31" w:name="_Toc42488090"/>
      <w:r>
        <w:rPr>
          <w:lang w:val="en-GB"/>
        </w:rPr>
        <w:t>22.</w:t>
      </w:r>
      <w:r>
        <w:rPr>
          <w:lang w:val="en-GB"/>
        </w:rPr>
        <w:tab/>
      </w:r>
      <w:r w:rsidR="0047783A" w:rsidRPr="00C348C0">
        <w:rPr>
          <w:lang w:val="en-GB"/>
        </w:rPr>
        <w:t>Signature of the contract and performance guarantee</w:t>
      </w:r>
      <w:bookmarkStart w:id="32" w:name="_Ref500418776"/>
      <w:bookmarkEnd w:id="30"/>
      <w:bookmarkEnd w:id="31"/>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lastRenderedPageBreak/>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654F04" w:rsidRPr="00654F04" w:rsidRDefault="008F27F5" w:rsidP="00654F04">
      <w:pPr>
        <w:ind w:left="567"/>
        <w:jc w:val="both"/>
        <w:rPr>
          <w:rFonts w:ascii="Times New Roman" w:hAnsi="Times New Roman"/>
          <w:color w:val="000000"/>
          <w:sz w:val="22"/>
          <w:szCs w:val="22"/>
        </w:rPr>
      </w:pPr>
      <w:r w:rsidRPr="00654F04">
        <w:rPr>
          <w:rFonts w:ascii="Times New Roman" w:hAnsi="Times New Roman"/>
          <w:color w:val="000000"/>
          <w:sz w:val="22"/>
          <w:szCs w:val="22"/>
        </w:rPr>
        <w:t xml:space="preserve"> </w:t>
      </w:r>
      <w:r w:rsidR="00654F04" w:rsidRPr="00654F04">
        <w:rPr>
          <w:rFonts w:ascii="Times New Roman" w:hAnsi="Times New Roman"/>
          <w:color w:val="000000"/>
          <w:sz w:val="22"/>
          <w:szCs w:val="22"/>
        </w:rPr>
        <w:t xml:space="preserve"> </w:t>
      </w:r>
      <w:r w:rsidR="00654F04" w:rsidRPr="004D0F08">
        <w:rPr>
          <w:rFonts w:ascii="Times New Roman" w:hAnsi="Times New Roman"/>
          <w:color w:val="000000"/>
          <w:sz w:val="22"/>
          <w:szCs w:val="22"/>
        </w:rPr>
        <w:t xml:space="preserve">Documentary evidence of the financial and economic capacity and/or of the technical and professional capacity according to the selection criteria specified in </w:t>
      </w:r>
      <w:r w:rsidR="00D950BA" w:rsidRPr="004D0F08">
        <w:rPr>
          <w:rFonts w:ascii="Times New Roman" w:hAnsi="Times New Roman"/>
          <w:color w:val="000000"/>
          <w:sz w:val="22"/>
          <w:szCs w:val="22"/>
        </w:rPr>
        <w:t xml:space="preserve">the </w:t>
      </w:r>
      <w:r w:rsidR="00B50CF5" w:rsidRPr="004D0F08">
        <w:rPr>
          <w:rFonts w:ascii="Times New Roman" w:hAnsi="Times New Roman"/>
          <w:color w:val="000000"/>
          <w:sz w:val="22"/>
          <w:szCs w:val="22"/>
        </w:rPr>
        <w:t xml:space="preserve">additional information about the </w:t>
      </w:r>
      <w:r w:rsidR="00D950BA" w:rsidRPr="004D0F08">
        <w:rPr>
          <w:rFonts w:ascii="Times New Roman" w:hAnsi="Times New Roman"/>
          <w:color w:val="000000"/>
          <w:sz w:val="22"/>
          <w:szCs w:val="22"/>
        </w:rPr>
        <w:t xml:space="preserve">contract notice </w:t>
      </w:r>
      <w:r w:rsidR="00394E9F" w:rsidRPr="004D0F08">
        <w:rPr>
          <w:rFonts w:ascii="Times New Roman" w:hAnsi="Times New Roman"/>
          <w:color w:val="000000"/>
          <w:sz w:val="22"/>
          <w:szCs w:val="22"/>
        </w:rPr>
        <w:t>shall be submitted</w:t>
      </w:r>
      <w:r w:rsidR="00654F04" w:rsidRPr="004D0F08">
        <w:rPr>
          <w:rFonts w:ascii="Times New Roman" w:hAnsi="Times New Roman"/>
          <w:color w:val="000000"/>
          <w:sz w:val="22"/>
          <w:szCs w:val="22"/>
        </w:rPr>
        <w:t>. (See</w:t>
      </w:r>
      <w:r w:rsidR="00654F04" w:rsidRPr="004D0F08">
        <w:rPr>
          <w:rFonts w:ascii="Times New Roman" w:hAnsi="Times New Roman"/>
          <w:sz w:val="22"/>
          <w:szCs w:val="22"/>
        </w:rPr>
        <w:t xml:space="preserve"> further </w:t>
      </w:r>
      <w:r w:rsidR="00917D02" w:rsidRPr="004D0F08">
        <w:rPr>
          <w:rFonts w:ascii="Times New Roman" w:hAnsi="Times New Roman"/>
          <w:sz w:val="22"/>
          <w:szCs w:val="22"/>
        </w:rPr>
        <w:t>Section</w:t>
      </w:r>
      <w:r w:rsidR="00654F04" w:rsidRPr="004D0F08">
        <w:rPr>
          <w:rFonts w:ascii="Times New Roman" w:hAnsi="Times New Roman"/>
          <w:sz w:val="22"/>
          <w:szCs w:val="22"/>
        </w:rPr>
        <w:t xml:space="preserve"> </w:t>
      </w:r>
      <w:r w:rsidR="000D5F1B" w:rsidRPr="004D0F08">
        <w:rPr>
          <w:rFonts w:ascii="Times New Roman" w:hAnsi="Times New Roman"/>
          <w:sz w:val="22"/>
          <w:szCs w:val="22"/>
        </w:rPr>
        <w:t>2.6.11.</w:t>
      </w:r>
      <w:r w:rsidR="00654F04" w:rsidRPr="004D0F08">
        <w:rPr>
          <w:rFonts w:ascii="Times New Roman" w:hAnsi="Times New Roman"/>
          <w:sz w:val="22"/>
          <w:szCs w:val="22"/>
        </w:rPr>
        <w:t xml:space="preserve"> of the </w:t>
      </w:r>
      <w:r w:rsidR="000D5F1B" w:rsidRPr="004D0F08">
        <w:rPr>
          <w:rFonts w:ascii="Times New Roman" w:hAnsi="Times New Roman"/>
          <w:sz w:val="22"/>
          <w:szCs w:val="22"/>
        </w:rPr>
        <w:t>p</w:t>
      </w:r>
      <w:r w:rsidR="00654F04" w:rsidRPr="004D0F08">
        <w:rPr>
          <w:rFonts w:ascii="Times New Roman" w:hAnsi="Times New Roman"/>
          <w:sz w:val="22"/>
          <w:szCs w:val="22"/>
        </w:rPr>
        <w:t xml:space="preserve">ractical </w:t>
      </w:r>
      <w:r w:rsidR="000D5F1B" w:rsidRPr="004D0F08">
        <w:rPr>
          <w:rFonts w:ascii="Times New Roman" w:hAnsi="Times New Roman"/>
          <w:sz w:val="22"/>
          <w:szCs w:val="22"/>
        </w:rPr>
        <w:t>g</w:t>
      </w:r>
      <w:r w:rsidR="00654F04" w:rsidRPr="004D0F08">
        <w:rPr>
          <w:rFonts w:ascii="Times New Roman" w:hAnsi="Times New Roman"/>
          <w:sz w:val="22"/>
          <w:szCs w:val="22"/>
        </w:rPr>
        <w:t>uide).</w:t>
      </w:r>
    </w:p>
    <w:p w:rsidR="000D4A00" w:rsidRDefault="000D4A00" w:rsidP="0042695A">
      <w:pPr>
        <w:spacing w:before="0" w:after="0"/>
        <w:ind w:left="567"/>
        <w:rPr>
          <w:rFonts w:ascii="Times New Roman" w:hAnsi="Times New Roman"/>
          <w:color w:val="000000"/>
          <w:szCs w:val="22"/>
        </w:rPr>
      </w:pPr>
    </w:p>
    <w:p w:rsidR="00654F04" w:rsidRPr="00654F04" w:rsidRDefault="00654F04" w:rsidP="00654F04">
      <w:pPr>
        <w:ind w:left="567" w:firstLine="33"/>
        <w:jc w:val="both"/>
        <w:rPr>
          <w:rFonts w:ascii="Times New Roman" w:hAnsi="Times New Roman"/>
          <w:color w:val="000000"/>
          <w:sz w:val="22"/>
          <w:szCs w:val="22"/>
        </w:rPr>
      </w:pP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2"/>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w:t>
      </w:r>
      <w:r w:rsidRPr="00E82463">
        <w:rPr>
          <w:rFonts w:ascii="Times New Roman" w:hAnsi="Times New Roman"/>
          <w:sz w:val="22"/>
          <w:lang w:val="en-GB"/>
        </w:rPr>
        <w:lastRenderedPageBreak/>
        <w:t xml:space="preserve">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Pr="00E82463">
        <w:rPr>
          <w:rFonts w:ascii="Times New Roman" w:hAnsi="Times New Roman"/>
          <w:sz w:val="22"/>
        </w:rPr>
        <w:t xml:space="preserve">The performance guarantee </w:t>
      </w:r>
      <w:r w:rsidR="004D0F08">
        <w:rPr>
          <w:rFonts w:ascii="Times New Roman" w:hAnsi="Times New Roman"/>
          <w:sz w:val="22"/>
        </w:rPr>
        <w:t>is not required.</w:t>
      </w:r>
    </w:p>
    <w:p w:rsidR="0047783A" w:rsidRPr="00C348C0" w:rsidRDefault="00EA1ADC" w:rsidP="00C348C0">
      <w:pPr>
        <w:pStyle w:val="Heading1"/>
        <w:numPr>
          <w:ilvl w:val="0"/>
          <w:numId w:val="0"/>
        </w:numPr>
        <w:rPr>
          <w:lang w:val="en-GB"/>
        </w:rPr>
      </w:pPr>
      <w:bookmarkStart w:id="33" w:name="_Toc41467299"/>
      <w:bookmarkStart w:id="34" w:name="_Toc42488091"/>
      <w:r w:rsidRPr="00C348C0">
        <w:rPr>
          <w:lang w:val="en-GB"/>
        </w:rPr>
        <w:t>23.</w:t>
      </w:r>
      <w:r w:rsidRPr="00C348C0">
        <w:rPr>
          <w:lang w:val="en-GB"/>
        </w:rPr>
        <w:tab/>
      </w:r>
      <w:r w:rsidR="0047783A" w:rsidRPr="00C348C0">
        <w:rPr>
          <w:lang w:val="en-GB"/>
        </w:rPr>
        <w:t>Tender guarantee</w:t>
      </w:r>
      <w:bookmarkEnd w:id="33"/>
      <w:bookmarkEnd w:id="34"/>
    </w:p>
    <w:p w:rsidR="00D1398A" w:rsidRPr="00E82463" w:rsidRDefault="0047783A" w:rsidP="00C07667">
      <w:pPr>
        <w:ind w:left="567"/>
        <w:jc w:val="both"/>
        <w:outlineLvl w:val="0"/>
        <w:rPr>
          <w:rFonts w:ascii="Times New Roman" w:hAnsi="Times New Roman"/>
          <w:sz w:val="22"/>
        </w:rPr>
      </w:pPr>
      <w:r w:rsidRPr="004D0F08">
        <w:rPr>
          <w:rFonts w:ascii="Times New Roman" w:hAnsi="Times New Roman"/>
          <w:sz w:val="22"/>
        </w:rPr>
        <w:t xml:space="preserve">The tender guarantee referred to in Article 11 above is set at </w:t>
      </w:r>
      <w:r w:rsidR="004D0F08" w:rsidRPr="004D0F08">
        <w:rPr>
          <w:rFonts w:ascii="Times New Roman" w:hAnsi="Times New Roman"/>
          <w:b/>
          <w:sz w:val="22"/>
        </w:rPr>
        <w:t>100 E</w:t>
      </w:r>
      <w:r w:rsidRPr="004D0F08">
        <w:rPr>
          <w:rFonts w:ascii="Times New Roman" w:hAnsi="Times New Roman"/>
          <w:sz w:val="22"/>
        </w:rPr>
        <w:t xml:space="preserve"> and must be presented in the form specified in the annex to the tender dossier. It must remain valid for 45 days beyond the period of validity of the tender. Tender guarantees provided by tenderers who have not been selected </w:t>
      </w:r>
      <w:r w:rsidR="001A6C79" w:rsidRPr="004D0F08">
        <w:rPr>
          <w:rFonts w:ascii="Times New Roman" w:hAnsi="Times New Roman"/>
          <w:sz w:val="22"/>
        </w:rPr>
        <w:t xml:space="preserve">will </w:t>
      </w:r>
      <w:r w:rsidRPr="004D0F08">
        <w:rPr>
          <w:rFonts w:ascii="Times New Roman" w:hAnsi="Times New Roman"/>
          <w:sz w:val="22"/>
        </w:rPr>
        <w:t xml:space="preserve">be returned together with the information letter that the tenderer has been unsuccessful. The tender guarantee of the successful tenderer </w:t>
      </w:r>
      <w:r w:rsidR="001A6C79" w:rsidRPr="004D0F08">
        <w:rPr>
          <w:rFonts w:ascii="Times New Roman" w:hAnsi="Times New Roman"/>
          <w:sz w:val="22"/>
        </w:rPr>
        <w:t xml:space="preserve">will </w:t>
      </w:r>
      <w:r w:rsidRPr="004D0F08">
        <w:rPr>
          <w:rFonts w:ascii="Times New Roman" w:hAnsi="Times New Roman"/>
          <w:sz w:val="22"/>
        </w:rPr>
        <w:t>be released on signing of the contract, once the performance guarantee has been submitted.</w:t>
      </w:r>
    </w:p>
    <w:p w:rsidR="0047783A" w:rsidRPr="00C348C0" w:rsidRDefault="00EA1ADC" w:rsidP="00C348C0">
      <w:pPr>
        <w:pStyle w:val="Heading1"/>
        <w:numPr>
          <w:ilvl w:val="0"/>
          <w:numId w:val="0"/>
        </w:numPr>
        <w:rPr>
          <w:lang w:val="en-GB"/>
        </w:rPr>
      </w:pPr>
      <w:bookmarkStart w:id="35" w:name="_Toc41467300"/>
      <w:bookmarkStart w:id="36" w:name="_Toc42488092"/>
      <w:r w:rsidRPr="00C348C0">
        <w:rPr>
          <w:lang w:val="en-GB"/>
        </w:rPr>
        <w:t xml:space="preserve">24. </w:t>
      </w:r>
      <w:r w:rsidR="0047783A" w:rsidRPr="00C348C0">
        <w:rPr>
          <w:lang w:val="en-GB"/>
        </w:rPr>
        <w:t>Ethics clauses</w:t>
      </w:r>
      <w:bookmarkEnd w:id="35"/>
      <w:bookmarkEnd w:id="36"/>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37" w:name="_Toc42488093"/>
      <w:r w:rsidRPr="00C348C0">
        <w:rPr>
          <w:lang w:val="en-GB"/>
        </w:rPr>
        <w:t>25.</w:t>
      </w:r>
      <w:r w:rsidRPr="00C348C0">
        <w:rPr>
          <w:lang w:val="en-GB"/>
        </w:rPr>
        <w:tab/>
      </w:r>
      <w:r w:rsidR="0047783A" w:rsidRPr="00C348C0">
        <w:rPr>
          <w:lang w:val="en-GB"/>
        </w:rPr>
        <w:t>Cancellation of the tender procedure</w:t>
      </w:r>
      <w:bookmarkEnd w:id="37"/>
    </w:p>
    <w:p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FC6A15" w:rsidRDefault="00FC6A15" w:rsidP="00A50D37">
      <w:pPr>
        <w:keepNext/>
        <w:jc w:val="both"/>
        <w:rPr>
          <w:rFonts w:ascii="Times New Roman" w:hAnsi="Times New Roman"/>
          <w:b/>
          <w:bCs/>
          <w:sz w:val="24"/>
          <w:szCs w:val="24"/>
        </w:rPr>
      </w:pPr>
      <w:r w:rsidRPr="00FC6A15" w:rsidDel="00FC6A15">
        <w:rPr>
          <w:szCs w:val="24"/>
        </w:rPr>
        <w:lastRenderedPageBreak/>
        <w:t xml:space="preserve"> </w:t>
      </w:r>
      <w:r w:rsidR="00A50D37" w:rsidRPr="00FC6A15">
        <w:rPr>
          <w:rFonts w:ascii="Times New Roman" w:hAnsi="Times New Roman"/>
          <w:b/>
          <w:bCs/>
          <w:sz w:val="24"/>
          <w:szCs w:val="24"/>
        </w:rPr>
        <w:t>27. Data Protection</w:t>
      </w:r>
    </w:p>
    <w:p w:rsidR="00A50D37" w:rsidRDefault="00A50D37" w:rsidP="00FC6A15">
      <w:pPr>
        <w:jc w:val="both"/>
        <w:rPr>
          <w:rFonts w:ascii="Times New Roman" w:hAnsi="Times New Roman"/>
          <w:sz w:val="22"/>
          <w:szCs w:val="22"/>
        </w:rPr>
      </w:pPr>
    </w:p>
    <w:p w:rsidR="00A50D37" w:rsidRPr="00FC6A15" w:rsidRDefault="00FC6A15" w:rsidP="00A50D37">
      <w:pPr>
        <w:ind w:left="-120"/>
        <w:jc w:val="both"/>
        <w:rPr>
          <w:rFonts w:ascii="Times New Roman" w:hAnsi="Times New Roman"/>
          <w:sz w:val="22"/>
          <w:szCs w:val="22"/>
          <w:highlight w:val="lightGray"/>
        </w:rPr>
      </w:pPr>
      <w:r w:rsidRPr="00FC6A15" w:rsidDel="00FC6A15">
        <w:rPr>
          <w:rFonts w:ascii="Times New Roman" w:hAnsi="Times New Roman"/>
          <w:b/>
          <w:bCs/>
          <w:sz w:val="22"/>
          <w:szCs w:val="22"/>
          <w:highlight w:val="lightGray"/>
        </w:rPr>
        <w:t xml:space="preserve"> </w:t>
      </w:r>
      <w:r w:rsidR="00A50D37" w:rsidRPr="00FC6A15">
        <w:rPr>
          <w:rFonts w:ascii="Times New Roman" w:hAnsi="Times New Roman"/>
          <w:sz w:val="22"/>
          <w:szCs w:val="22"/>
          <w:highlight w:val="lightGray"/>
        </w:rPr>
        <w:t>[Processing of personal data related to this tender procedure by the contracting authority takes place in accordance with the national legislation of the state of the contracting authority and with the provisions of the respective financing agreement.</w:t>
      </w:r>
    </w:p>
    <w:p w:rsidR="00A50D37" w:rsidRPr="00FC6A15" w:rsidRDefault="00A50D37" w:rsidP="00A50D37">
      <w:pPr>
        <w:ind w:left="-120"/>
        <w:jc w:val="both"/>
        <w:rPr>
          <w:rFonts w:ascii="Times New Roman" w:hAnsi="Times New Roman"/>
          <w:sz w:val="22"/>
          <w:szCs w:val="22"/>
        </w:rPr>
      </w:pPr>
      <w:r w:rsidRPr="00FC6A15">
        <w:rPr>
          <w:rFonts w:ascii="Times New Roman" w:hAnsi="Times New Roman"/>
          <w:sz w:val="22"/>
          <w:szCs w:val="22"/>
          <w:highlight w:val="lightGray"/>
        </w:rPr>
        <w:t>The tender procedure and the contract relate to an external action funded by the EU, represented by the European Commission. If processing your reply to the invitation to tender involves transfer of personal data (such as names, contact details and CVs) to the European Commission, they will be processed solely for the purposes of the monitoring of the procurement procedure and of the implementation of the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w:t>
      </w:r>
      <w:r w:rsidRPr="00FC6A15">
        <w:rPr>
          <w:rFonts w:ascii="Times New Roman" w:hAnsi="Times New Roman"/>
          <w:sz w:val="22"/>
          <w:szCs w:val="22"/>
        </w:rPr>
        <w:t xml:space="preserve"> </w:t>
      </w:r>
      <w:r w:rsidRPr="00FC6A15">
        <w:rPr>
          <w:rFonts w:ascii="Times New Roman" w:hAnsi="Times New Roman"/>
          <w:sz w:val="22"/>
          <w:szCs w:val="22"/>
          <w:highlight w:val="lightGray"/>
        </w:rPr>
        <w:t>of EU law. For the part of the data transferred by the contracting authority to the European Commission, the controller for the processing of personal data carried out within the Commission is</w:t>
      </w:r>
    </w:p>
    <w:p w:rsidR="00A50D37" w:rsidRPr="00FC6A15" w:rsidRDefault="00A50D37" w:rsidP="00A50D37">
      <w:pPr>
        <w:ind w:left="-120"/>
        <w:jc w:val="both"/>
        <w:rPr>
          <w:rFonts w:ascii="Times New Roman" w:hAnsi="Times New Roman"/>
          <w:sz w:val="22"/>
          <w:szCs w:val="22"/>
          <w:highlight w:val="lightGray"/>
        </w:rPr>
      </w:pPr>
      <w:r w:rsidRPr="00FC6A15">
        <w:rPr>
          <w:rFonts w:ascii="Times New Roman" w:hAnsi="Times New Roman"/>
          <w:sz w:val="22"/>
          <w:szCs w:val="22"/>
        </w:rPr>
        <w:t>[</w:t>
      </w:r>
      <w:r w:rsidRPr="00FC6A15">
        <w:rPr>
          <w:rFonts w:ascii="Times New Roman" w:hAnsi="Times New Roman"/>
          <w:sz w:val="22"/>
          <w:szCs w:val="22"/>
          <w:highlight w:val="yellow"/>
        </w:rPr>
        <w:t xml:space="preserve">For DG </w:t>
      </w:r>
      <w:r w:rsidR="00D17EE8">
        <w:rPr>
          <w:rFonts w:ascii="Times New Roman" w:hAnsi="Times New Roman"/>
          <w:sz w:val="22"/>
          <w:szCs w:val="22"/>
          <w:highlight w:val="yellow"/>
        </w:rPr>
        <w:t>INTPA</w:t>
      </w:r>
      <w:r w:rsidRPr="00FC6A15">
        <w:rPr>
          <w:rFonts w:ascii="Times New Roman" w:hAnsi="Times New Roman"/>
          <w:sz w:val="22"/>
          <w:szCs w:val="22"/>
        </w:rPr>
        <w:t xml:space="preserve"> </w:t>
      </w:r>
      <w:r w:rsidRPr="00FC6A15">
        <w:rPr>
          <w:rFonts w:ascii="Times New Roman" w:hAnsi="Times New Roman"/>
          <w:sz w:val="22"/>
          <w:szCs w:val="22"/>
          <w:highlight w:val="lightGray"/>
        </w:rPr>
        <w:t xml:space="preserve">the head of legal affairs unit of DG International </w:t>
      </w:r>
      <w:r w:rsidR="00D17EE8">
        <w:rPr>
          <w:rFonts w:ascii="Times New Roman" w:hAnsi="Times New Roman"/>
          <w:sz w:val="22"/>
          <w:szCs w:val="22"/>
          <w:highlight w:val="lightGray"/>
        </w:rPr>
        <w:t>Partnerships</w:t>
      </w:r>
      <w:r w:rsidRPr="00FC6A15">
        <w:rPr>
          <w:rFonts w:ascii="Times New Roman" w:hAnsi="Times New Roman"/>
          <w:sz w:val="22"/>
          <w:szCs w:val="22"/>
          <w:highlight w:val="lightGray"/>
        </w:rPr>
        <w:t>]</w:t>
      </w:r>
    </w:p>
    <w:p w:rsidR="00A50D37" w:rsidRPr="00FC6A15" w:rsidRDefault="00A50D37" w:rsidP="00A50D37">
      <w:pPr>
        <w:ind w:left="-120"/>
        <w:jc w:val="both"/>
        <w:rPr>
          <w:rFonts w:ascii="Times New Roman" w:hAnsi="Times New Roman"/>
          <w:sz w:val="22"/>
          <w:szCs w:val="22"/>
        </w:rPr>
      </w:pPr>
      <w:r w:rsidRPr="00FC6A15">
        <w:rPr>
          <w:rFonts w:ascii="Times New Roman" w:hAnsi="Times New Roman"/>
          <w:sz w:val="22"/>
          <w:szCs w:val="22"/>
          <w:highlight w:val="yellow"/>
        </w:rPr>
        <w:t>[For DG NEAR</w:t>
      </w:r>
      <w:r w:rsidRPr="00FC6A15">
        <w:rPr>
          <w:rFonts w:ascii="Times New Roman" w:hAnsi="Times New Roman"/>
          <w:sz w:val="22"/>
          <w:szCs w:val="22"/>
        </w:rPr>
        <w:t xml:space="preserve"> </w:t>
      </w:r>
      <w:r w:rsidRPr="00FC6A15">
        <w:rPr>
          <w:rFonts w:ascii="Times New Roman" w:hAnsi="Times New Roman"/>
          <w:sz w:val="22"/>
          <w:szCs w:val="22"/>
          <w:highlight w:val="lightGray"/>
        </w:rPr>
        <w:t>the head of contracts and finance unit R4 of DG Neighbourhood and Enlargement Negotiations]</w:t>
      </w:r>
    </w:p>
    <w:p w:rsidR="00A50D37" w:rsidRPr="00FC6A15" w:rsidRDefault="00A50D37" w:rsidP="00A50D37">
      <w:pPr>
        <w:ind w:left="-120"/>
        <w:jc w:val="both"/>
        <w:rPr>
          <w:rFonts w:ascii="Times New Roman" w:hAnsi="Times New Roman"/>
          <w:sz w:val="22"/>
          <w:szCs w:val="22"/>
        </w:rPr>
      </w:pPr>
      <w:r w:rsidRPr="00FC6A15">
        <w:rPr>
          <w:rFonts w:ascii="Times New Roman" w:hAnsi="Times New Roman"/>
          <w:sz w:val="22"/>
          <w:szCs w:val="22"/>
        </w:rPr>
        <w:t>[</w:t>
      </w:r>
      <w:r w:rsidRPr="00FC6A15">
        <w:rPr>
          <w:rFonts w:ascii="Times New Roman" w:hAnsi="Times New Roman"/>
          <w:sz w:val="22"/>
          <w:szCs w:val="22"/>
          <w:highlight w:val="yellow"/>
        </w:rPr>
        <w:t>For any other DG</w:t>
      </w:r>
      <w:r w:rsidRPr="00FC6A15">
        <w:rPr>
          <w:rFonts w:ascii="Times New Roman" w:hAnsi="Times New Roman"/>
          <w:sz w:val="22"/>
          <w:szCs w:val="22"/>
        </w:rPr>
        <w:t xml:space="preserve"> </w:t>
      </w:r>
      <w:r w:rsidRPr="00FC6A15">
        <w:rPr>
          <w:rFonts w:ascii="Times New Roman" w:hAnsi="Times New Roman"/>
          <w:sz w:val="22"/>
          <w:szCs w:val="22"/>
          <w:highlight w:val="yellow"/>
        </w:rPr>
        <w:t>&lt;please add the function of your controller &gt;</w:t>
      </w:r>
      <w:r w:rsidRPr="00FC6A15">
        <w:rPr>
          <w:rFonts w:ascii="Times New Roman" w:hAnsi="Times New Roman"/>
          <w:sz w:val="22"/>
          <w:szCs w:val="22"/>
        </w:rPr>
        <w:t>.</w:t>
      </w:r>
      <w:r w:rsidRPr="00FC6A15">
        <w:rPr>
          <w:rFonts w:ascii="Times New Roman" w:hAnsi="Times New Roman"/>
          <w:sz w:val="22"/>
          <w:szCs w:val="22"/>
          <w:highlight w:val="lightGray"/>
        </w:rPr>
        <w:t>]</w:t>
      </w:r>
    </w:p>
    <w:p w:rsidR="00A50D37" w:rsidRPr="00FC6A15" w:rsidRDefault="00A50D37" w:rsidP="00A50D37">
      <w:pPr>
        <w:ind w:left="-120"/>
        <w:jc w:val="both"/>
        <w:rPr>
          <w:rFonts w:ascii="Times New Roman" w:hAnsi="Times New Roman"/>
          <w:sz w:val="22"/>
          <w:szCs w:val="22"/>
          <w:highlight w:val="lightGray"/>
        </w:rPr>
      </w:pPr>
      <w:r w:rsidRPr="00FC6A15">
        <w:rPr>
          <w:rFonts w:ascii="Times New Roman" w:hAnsi="Times New Roman"/>
          <w:sz w:val="22"/>
          <w:szCs w:val="22"/>
          <w:highlight w:val="lightGray"/>
        </w:rPr>
        <w:t>Details concerning processing of your personal data by the Commission are available on the privacy statement at</w:t>
      </w:r>
      <w:r w:rsidRPr="00FC6A15">
        <w:rPr>
          <w:rFonts w:ascii="Times New Roman" w:hAnsi="Times New Roman"/>
          <w:sz w:val="22"/>
          <w:szCs w:val="22"/>
        </w:rPr>
        <w:t>:</w:t>
      </w:r>
    </w:p>
    <w:p w:rsidR="00A50D37" w:rsidRPr="00FC6A15" w:rsidRDefault="005A6AE3" w:rsidP="00A50D37">
      <w:pPr>
        <w:ind w:left="720"/>
        <w:rPr>
          <w:rFonts w:ascii="Times New Roman" w:hAnsi="Times New Roman"/>
          <w:sz w:val="22"/>
          <w:szCs w:val="22"/>
          <w:highlight w:val="lightGray"/>
        </w:rPr>
      </w:pPr>
      <w:hyperlink r:id="rId12" w:history="1">
        <w:r w:rsidR="00A50D37" w:rsidRPr="00FC6A15">
          <w:rPr>
            <w:rStyle w:val="Hyperlink"/>
            <w:rFonts w:ascii="Times New Roman" w:hAnsi="Times New Roman"/>
            <w:sz w:val="22"/>
            <w:szCs w:val="22"/>
          </w:rPr>
          <w:t>http://ec.europa.eu/europeaid/prag/annexes.do?chapterTitleCode=A</w:t>
        </w:r>
      </w:hyperlink>
      <w:r w:rsidR="00A50D37" w:rsidRPr="00FC6A15">
        <w:rPr>
          <w:rFonts w:ascii="Times New Roman" w:hAnsi="Times New Roman"/>
          <w:color w:val="1F497D"/>
          <w:sz w:val="22"/>
          <w:szCs w:val="22"/>
        </w:rPr>
        <w:t xml:space="preserve"> </w:t>
      </w:r>
      <w:r w:rsidR="00A50D37" w:rsidRPr="00FC6A15">
        <w:rPr>
          <w:rFonts w:ascii="Times New Roman" w:hAnsi="Times New Roman"/>
          <w:color w:val="1F497D"/>
          <w:sz w:val="22"/>
          <w:szCs w:val="22"/>
          <w:highlight w:val="lightGray"/>
        </w:rPr>
        <w:t> </w:t>
      </w:r>
    </w:p>
    <w:p w:rsidR="00A50D37" w:rsidRPr="00FC6A15" w:rsidRDefault="00A50D37" w:rsidP="00A50D37">
      <w:pPr>
        <w:jc w:val="both"/>
        <w:rPr>
          <w:rFonts w:ascii="Times New Roman" w:hAnsi="Times New Roman"/>
          <w:sz w:val="22"/>
          <w:szCs w:val="22"/>
          <w:lang w:eastAsia="en-GB"/>
        </w:rPr>
      </w:pPr>
      <w:r w:rsidRPr="00FC6A15">
        <w:rPr>
          <w:rFonts w:ascii="Times New Roman" w:hAnsi="Times New Roman"/>
          <w:sz w:val="22"/>
          <w:szCs w:val="22"/>
          <w:highlight w:val="lightGray"/>
        </w:rPr>
        <w:t>In cases where you are processing personal data in the context of participation to a tender (e.g. CVs of both key and technical experts) and/or implementation of a contract (e.g. replacement of experts) you shall accordingly inform the data subjects of the possible transmission of their data to EU institutions and bodies and communicate the above mentioned privacy statement to them.</w:t>
      </w:r>
      <w:r w:rsidRPr="00FC6A15">
        <w:rPr>
          <w:rFonts w:ascii="Times New Roman" w:hAnsi="Times New Roman"/>
          <w:sz w:val="22"/>
          <w:szCs w:val="22"/>
        </w:rPr>
        <w:t>]</w:t>
      </w:r>
    </w:p>
    <w:p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rsidR="00130EF1" w:rsidRPr="00E82463" w:rsidRDefault="0047783A" w:rsidP="0042695A">
      <w:pPr>
        <w:pStyle w:val="BodyText"/>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footerReference w:type="even" r:id="rId13"/>
      <w:footerReference w:type="default" r:id="rId14"/>
      <w:footerReference w:type="first" r:id="rId15"/>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D62" w:rsidRPr="006A5F84" w:rsidRDefault="00F62D62">
      <w:r w:rsidRPr="006A5F84">
        <w:separator/>
      </w:r>
    </w:p>
  </w:endnote>
  <w:endnote w:type="continuationSeparator" w:id="1">
    <w:p w:rsidR="00F62D62" w:rsidRPr="006A5F84" w:rsidRDefault="00F62D62">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Default="005A6AE3" w:rsidP="0047783A">
    <w:pPr>
      <w:pStyle w:val="Footer"/>
      <w:framePr w:wrap="around" w:vAnchor="text" w:hAnchor="margin" w:xAlign="right" w:y="1"/>
      <w:rPr>
        <w:rStyle w:val="PageNumber"/>
      </w:rPr>
    </w:pPr>
    <w:r>
      <w:rPr>
        <w:rStyle w:val="PageNumber"/>
      </w:rPr>
      <w:fldChar w:fldCharType="begin"/>
    </w:r>
    <w:r w:rsidR="00A77708">
      <w:rPr>
        <w:rStyle w:val="PageNumber"/>
      </w:rPr>
      <w:instrText xml:space="preserve">PAGE  </w:instrText>
    </w:r>
    <w:r>
      <w:rPr>
        <w:rStyle w:val="PageNumber"/>
      </w:rPr>
      <w:fldChar w:fldCharType="separate"/>
    </w:r>
    <w:r w:rsidR="00A77708">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9423FB" w:rsidRDefault="0042695A"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5A6AE3"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5A6AE3" w:rsidRPr="009423FB">
      <w:rPr>
        <w:rStyle w:val="PageNumber"/>
        <w:rFonts w:ascii="Times New Roman" w:hAnsi="Times New Roman"/>
        <w:sz w:val="18"/>
        <w:szCs w:val="18"/>
      </w:rPr>
      <w:fldChar w:fldCharType="separate"/>
    </w:r>
    <w:r w:rsidR="003F4BBC">
      <w:rPr>
        <w:rStyle w:val="PageNumber"/>
        <w:rFonts w:ascii="Times New Roman" w:hAnsi="Times New Roman"/>
        <w:noProof/>
        <w:sz w:val="18"/>
        <w:szCs w:val="18"/>
      </w:rPr>
      <w:t>7</w:t>
    </w:r>
    <w:r w:rsidR="005A6AE3"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5A6AE3"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5A6AE3" w:rsidRPr="009423FB">
      <w:rPr>
        <w:rStyle w:val="PageNumber"/>
        <w:rFonts w:ascii="Times New Roman" w:hAnsi="Times New Roman"/>
        <w:sz w:val="18"/>
        <w:szCs w:val="18"/>
      </w:rPr>
      <w:fldChar w:fldCharType="separate"/>
    </w:r>
    <w:r w:rsidR="003F4BBC">
      <w:rPr>
        <w:rStyle w:val="PageNumber"/>
        <w:rFonts w:ascii="Times New Roman" w:hAnsi="Times New Roman"/>
        <w:noProof/>
        <w:sz w:val="18"/>
        <w:szCs w:val="18"/>
      </w:rPr>
      <w:t>14</w:t>
    </w:r>
    <w:r w:rsidR="005A6AE3" w:rsidRPr="009423FB">
      <w:rPr>
        <w:rStyle w:val="PageNumber"/>
        <w:rFonts w:ascii="Times New Roman" w:hAnsi="Times New Roman"/>
        <w:sz w:val="18"/>
        <w:szCs w:val="18"/>
      </w:rPr>
      <w:fldChar w:fldCharType="end"/>
    </w:r>
  </w:p>
  <w:p w:rsidR="00A77708" w:rsidRPr="009423FB" w:rsidRDefault="005A6AE3"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A77708"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442FF2">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6A5F84" w:rsidRDefault="005A6AE3" w:rsidP="0047783A">
    <w:pPr>
      <w:pStyle w:val="Footer"/>
      <w:framePr w:wrap="around" w:vAnchor="text" w:hAnchor="margin" w:xAlign="right" w:y="1"/>
      <w:rPr>
        <w:rStyle w:val="PageNumber"/>
      </w:rPr>
    </w:pPr>
    <w:r w:rsidRPr="006A5F84">
      <w:rPr>
        <w:rStyle w:val="PageNumber"/>
      </w:rPr>
      <w:fldChar w:fldCharType="begin"/>
    </w:r>
    <w:r w:rsidR="00A77708" w:rsidRPr="006A5F84">
      <w:rPr>
        <w:rStyle w:val="PageNumber"/>
      </w:rPr>
      <w:instrText xml:space="preserve">PAGE  </w:instrText>
    </w:r>
    <w:r w:rsidRPr="006A5F84">
      <w:rPr>
        <w:rStyle w:val="PageNumber"/>
      </w:rPr>
      <w:fldChar w:fldCharType="separate"/>
    </w:r>
    <w:r w:rsidR="00A77708"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D62" w:rsidRPr="006A5F84" w:rsidRDefault="00F62D62">
      <w:r w:rsidRPr="006A5F84">
        <w:separator/>
      </w:r>
    </w:p>
  </w:footnote>
  <w:footnote w:type="continuationSeparator" w:id="1">
    <w:p w:rsidR="00F62D62" w:rsidRPr="006A5F84" w:rsidRDefault="00F62D62">
      <w:r w:rsidRPr="006A5F84">
        <w:continuationSeparator/>
      </w:r>
    </w:p>
  </w:footnote>
  <w:footnote w:id="2">
    <w:p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FB50D93"/>
    <w:multiLevelType w:val="hybridMultilevel"/>
    <w:tmpl w:val="5B52CCCC"/>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2"/>
  </w:num>
  <w:num w:numId="3">
    <w:abstractNumId w:val="10"/>
  </w:num>
  <w:num w:numId="4">
    <w:abstractNumId w:val="13"/>
  </w:num>
  <w:num w:numId="5">
    <w:abstractNumId w:val="24"/>
  </w:num>
  <w:num w:numId="6">
    <w:abstractNumId w:val="9"/>
  </w:num>
  <w:num w:numId="7">
    <w:abstractNumId w:val="6"/>
  </w:num>
  <w:num w:numId="8">
    <w:abstractNumId w:val="2"/>
  </w:num>
  <w:num w:numId="9">
    <w:abstractNumId w:val="15"/>
  </w:num>
  <w:num w:numId="10">
    <w:abstractNumId w:val="5"/>
  </w:num>
  <w:num w:numId="11">
    <w:abstractNumId w:val="21"/>
  </w:num>
  <w:num w:numId="12">
    <w:abstractNumId w:val="12"/>
  </w:num>
  <w:num w:numId="13">
    <w:abstractNumId w:val="7"/>
  </w:num>
  <w:num w:numId="14">
    <w:abstractNumId w:val="19"/>
  </w:num>
  <w:num w:numId="15">
    <w:abstractNumId w:val="20"/>
  </w:num>
  <w:num w:numId="16">
    <w:abstractNumId w:val="8"/>
  </w:num>
  <w:num w:numId="17">
    <w:abstractNumId w:val="16"/>
  </w:num>
  <w:num w:numId="18">
    <w:abstractNumId w:val="11"/>
  </w:num>
  <w:num w:numId="19">
    <w:abstractNumId w:val="11"/>
  </w:num>
  <w:num w:numId="20">
    <w:abstractNumId w:val="25"/>
  </w:num>
  <w:num w:numId="21">
    <w:abstractNumId w:val="18"/>
  </w:num>
  <w:num w:numId="22">
    <w:abstractNumId w:val="17"/>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 w:numId="29">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4BA9"/>
    <w:rsid w:val="0010518E"/>
    <w:rsid w:val="00111B28"/>
    <w:rsid w:val="00115916"/>
    <w:rsid w:val="00115A3D"/>
    <w:rsid w:val="001160E5"/>
    <w:rsid w:val="00116A45"/>
    <w:rsid w:val="0011712F"/>
    <w:rsid w:val="00121DE4"/>
    <w:rsid w:val="00123EDC"/>
    <w:rsid w:val="001252C0"/>
    <w:rsid w:val="0012677D"/>
    <w:rsid w:val="0013002E"/>
    <w:rsid w:val="001302A7"/>
    <w:rsid w:val="001309AB"/>
    <w:rsid w:val="00130EF1"/>
    <w:rsid w:val="001320DF"/>
    <w:rsid w:val="00134586"/>
    <w:rsid w:val="0014659F"/>
    <w:rsid w:val="00150767"/>
    <w:rsid w:val="001515E4"/>
    <w:rsid w:val="0015249A"/>
    <w:rsid w:val="001536B3"/>
    <w:rsid w:val="00157C6D"/>
    <w:rsid w:val="00157DEE"/>
    <w:rsid w:val="001645AC"/>
    <w:rsid w:val="00164F15"/>
    <w:rsid w:val="00171C45"/>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D51F8"/>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6367"/>
    <w:rsid w:val="002B1865"/>
    <w:rsid w:val="002B6401"/>
    <w:rsid w:val="002B7402"/>
    <w:rsid w:val="002B78A7"/>
    <w:rsid w:val="002C1EAD"/>
    <w:rsid w:val="002C649A"/>
    <w:rsid w:val="002D0CE1"/>
    <w:rsid w:val="002D1FCC"/>
    <w:rsid w:val="002D2FC0"/>
    <w:rsid w:val="002D6EED"/>
    <w:rsid w:val="002E105B"/>
    <w:rsid w:val="002E1FB2"/>
    <w:rsid w:val="002F122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5E9"/>
    <w:rsid w:val="00392A7E"/>
    <w:rsid w:val="00394E9F"/>
    <w:rsid w:val="003A02A1"/>
    <w:rsid w:val="003A474A"/>
    <w:rsid w:val="003B3C9C"/>
    <w:rsid w:val="003B48B4"/>
    <w:rsid w:val="003C0747"/>
    <w:rsid w:val="003C6C9C"/>
    <w:rsid w:val="003C7266"/>
    <w:rsid w:val="003D2078"/>
    <w:rsid w:val="003D3CAA"/>
    <w:rsid w:val="003D7011"/>
    <w:rsid w:val="003D7611"/>
    <w:rsid w:val="003E4DCA"/>
    <w:rsid w:val="003E7C71"/>
    <w:rsid w:val="003F0713"/>
    <w:rsid w:val="003F2FA4"/>
    <w:rsid w:val="003F3B51"/>
    <w:rsid w:val="003F3D45"/>
    <w:rsid w:val="003F4953"/>
    <w:rsid w:val="003F4BBC"/>
    <w:rsid w:val="003F6D98"/>
    <w:rsid w:val="003F7AF5"/>
    <w:rsid w:val="003F7DB7"/>
    <w:rsid w:val="0040221E"/>
    <w:rsid w:val="0040595A"/>
    <w:rsid w:val="004072FA"/>
    <w:rsid w:val="004105A1"/>
    <w:rsid w:val="00420666"/>
    <w:rsid w:val="00421363"/>
    <w:rsid w:val="0042695A"/>
    <w:rsid w:val="004300D4"/>
    <w:rsid w:val="004316F0"/>
    <w:rsid w:val="004365AD"/>
    <w:rsid w:val="00442FF2"/>
    <w:rsid w:val="004434F8"/>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0F08"/>
    <w:rsid w:val="004D2FD8"/>
    <w:rsid w:val="004D6D1E"/>
    <w:rsid w:val="004E16BB"/>
    <w:rsid w:val="004E68CF"/>
    <w:rsid w:val="004F1264"/>
    <w:rsid w:val="004F5C57"/>
    <w:rsid w:val="004F6EE9"/>
    <w:rsid w:val="005005D7"/>
    <w:rsid w:val="00501FF0"/>
    <w:rsid w:val="00503427"/>
    <w:rsid w:val="00515616"/>
    <w:rsid w:val="00516552"/>
    <w:rsid w:val="00533C8D"/>
    <w:rsid w:val="00535826"/>
    <w:rsid w:val="00536B4A"/>
    <w:rsid w:val="00537189"/>
    <w:rsid w:val="00542E0F"/>
    <w:rsid w:val="00545957"/>
    <w:rsid w:val="00552278"/>
    <w:rsid w:val="00555BFC"/>
    <w:rsid w:val="00556923"/>
    <w:rsid w:val="005634B2"/>
    <w:rsid w:val="00575CB0"/>
    <w:rsid w:val="00580F0C"/>
    <w:rsid w:val="00582894"/>
    <w:rsid w:val="00586D6C"/>
    <w:rsid w:val="00591F23"/>
    <w:rsid w:val="00593550"/>
    <w:rsid w:val="0059371A"/>
    <w:rsid w:val="005A6AE3"/>
    <w:rsid w:val="005B2018"/>
    <w:rsid w:val="005B35D7"/>
    <w:rsid w:val="005B3C87"/>
    <w:rsid w:val="005C0EA1"/>
    <w:rsid w:val="005C1201"/>
    <w:rsid w:val="005C355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9153C"/>
    <w:rsid w:val="006917B2"/>
    <w:rsid w:val="00692095"/>
    <w:rsid w:val="00696FDD"/>
    <w:rsid w:val="006A5F84"/>
    <w:rsid w:val="006B0532"/>
    <w:rsid w:val="006B0AB1"/>
    <w:rsid w:val="006B3EAE"/>
    <w:rsid w:val="006B5B42"/>
    <w:rsid w:val="006C2F05"/>
    <w:rsid w:val="006C513D"/>
    <w:rsid w:val="006D3BA1"/>
    <w:rsid w:val="006D4CEC"/>
    <w:rsid w:val="006E1DB1"/>
    <w:rsid w:val="006E4A76"/>
    <w:rsid w:val="006E56FD"/>
    <w:rsid w:val="006E6880"/>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44"/>
    <w:rsid w:val="007A01BB"/>
    <w:rsid w:val="007A0C47"/>
    <w:rsid w:val="007B15A3"/>
    <w:rsid w:val="007B65DB"/>
    <w:rsid w:val="007C0BDD"/>
    <w:rsid w:val="007C1656"/>
    <w:rsid w:val="007C6835"/>
    <w:rsid w:val="007C75E0"/>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40AF0"/>
    <w:rsid w:val="00853F9D"/>
    <w:rsid w:val="0085667F"/>
    <w:rsid w:val="008617F3"/>
    <w:rsid w:val="008670ED"/>
    <w:rsid w:val="0086759F"/>
    <w:rsid w:val="0086760C"/>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C14A7"/>
    <w:rsid w:val="008C4E79"/>
    <w:rsid w:val="008C5A40"/>
    <w:rsid w:val="008C5DAA"/>
    <w:rsid w:val="008C787A"/>
    <w:rsid w:val="008E40E2"/>
    <w:rsid w:val="008E7470"/>
    <w:rsid w:val="008E7587"/>
    <w:rsid w:val="008F27F5"/>
    <w:rsid w:val="008F3866"/>
    <w:rsid w:val="008F3D27"/>
    <w:rsid w:val="009030B0"/>
    <w:rsid w:val="009143FD"/>
    <w:rsid w:val="00917D02"/>
    <w:rsid w:val="00920A51"/>
    <w:rsid w:val="00920DBC"/>
    <w:rsid w:val="00922542"/>
    <w:rsid w:val="009251E3"/>
    <w:rsid w:val="00925B28"/>
    <w:rsid w:val="00931C6D"/>
    <w:rsid w:val="0093582A"/>
    <w:rsid w:val="009423FB"/>
    <w:rsid w:val="0094670B"/>
    <w:rsid w:val="00947FC3"/>
    <w:rsid w:val="00950813"/>
    <w:rsid w:val="009514EC"/>
    <w:rsid w:val="00961615"/>
    <w:rsid w:val="009656FB"/>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C357C"/>
    <w:rsid w:val="009C3FF6"/>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3258A"/>
    <w:rsid w:val="00A4194A"/>
    <w:rsid w:val="00A42161"/>
    <w:rsid w:val="00A4424B"/>
    <w:rsid w:val="00A50D37"/>
    <w:rsid w:val="00A512A5"/>
    <w:rsid w:val="00A512C9"/>
    <w:rsid w:val="00A539E4"/>
    <w:rsid w:val="00A5438F"/>
    <w:rsid w:val="00A55597"/>
    <w:rsid w:val="00A5693E"/>
    <w:rsid w:val="00A56C0B"/>
    <w:rsid w:val="00A62073"/>
    <w:rsid w:val="00A62A7F"/>
    <w:rsid w:val="00A63E3C"/>
    <w:rsid w:val="00A6452B"/>
    <w:rsid w:val="00A65361"/>
    <w:rsid w:val="00A665A2"/>
    <w:rsid w:val="00A721A0"/>
    <w:rsid w:val="00A75650"/>
    <w:rsid w:val="00A77708"/>
    <w:rsid w:val="00A826AD"/>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0CF5"/>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2CCE"/>
    <w:rsid w:val="00BB51C8"/>
    <w:rsid w:val="00BB56D3"/>
    <w:rsid w:val="00BB65D4"/>
    <w:rsid w:val="00BB6CB4"/>
    <w:rsid w:val="00BC112C"/>
    <w:rsid w:val="00BC163B"/>
    <w:rsid w:val="00BC2F6B"/>
    <w:rsid w:val="00BC3B75"/>
    <w:rsid w:val="00BC46F2"/>
    <w:rsid w:val="00BC6222"/>
    <w:rsid w:val="00BD201F"/>
    <w:rsid w:val="00BD2FEA"/>
    <w:rsid w:val="00BD3371"/>
    <w:rsid w:val="00BE34FF"/>
    <w:rsid w:val="00BE3AD8"/>
    <w:rsid w:val="00BF1A9A"/>
    <w:rsid w:val="00C0329C"/>
    <w:rsid w:val="00C07667"/>
    <w:rsid w:val="00C12AF0"/>
    <w:rsid w:val="00C13C29"/>
    <w:rsid w:val="00C17310"/>
    <w:rsid w:val="00C24AB5"/>
    <w:rsid w:val="00C255E8"/>
    <w:rsid w:val="00C302E1"/>
    <w:rsid w:val="00C3235B"/>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299"/>
    <w:rsid w:val="00C81B22"/>
    <w:rsid w:val="00C8328B"/>
    <w:rsid w:val="00C85C8A"/>
    <w:rsid w:val="00C85F4A"/>
    <w:rsid w:val="00C86724"/>
    <w:rsid w:val="00C87F4C"/>
    <w:rsid w:val="00C92434"/>
    <w:rsid w:val="00C976DE"/>
    <w:rsid w:val="00CA1354"/>
    <w:rsid w:val="00CA618A"/>
    <w:rsid w:val="00CA6C68"/>
    <w:rsid w:val="00CA7FAB"/>
    <w:rsid w:val="00CB3E27"/>
    <w:rsid w:val="00CB4E1D"/>
    <w:rsid w:val="00CC7DE2"/>
    <w:rsid w:val="00CD2A02"/>
    <w:rsid w:val="00CD7F25"/>
    <w:rsid w:val="00CE16A1"/>
    <w:rsid w:val="00CF2D8C"/>
    <w:rsid w:val="00CF2DE2"/>
    <w:rsid w:val="00CF30C4"/>
    <w:rsid w:val="00CF48EA"/>
    <w:rsid w:val="00CF63C2"/>
    <w:rsid w:val="00CF6CFA"/>
    <w:rsid w:val="00D00E91"/>
    <w:rsid w:val="00D02E23"/>
    <w:rsid w:val="00D03108"/>
    <w:rsid w:val="00D07A31"/>
    <w:rsid w:val="00D1398A"/>
    <w:rsid w:val="00D16ADA"/>
    <w:rsid w:val="00D17EE8"/>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2793"/>
    <w:rsid w:val="00D735D6"/>
    <w:rsid w:val="00D73E36"/>
    <w:rsid w:val="00D75213"/>
    <w:rsid w:val="00D83D1B"/>
    <w:rsid w:val="00D8732D"/>
    <w:rsid w:val="00D90043"/>
    <w:rsid w:val="00D92BA6"/>
    <w:rsid w:val="00D92FC8"/>
    <w:rsid w:val="00D93F90"/>
    <w:rsid w:val="00D950BA"/>
    <w:rsid w:val="00D979C6"/>
    <w:rsid w:val="00DA0AA8"/>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68E3"/>
    <w:rsid w:val="00E203EF"/>
    <w:rsid w:val="00E213A7"/>
    <w:rsid w:val="00E215DF"/>
    <w:rsid w:val="00E2190B"/>
    <w:rsid w:val="00E2682A"/>
    <w:rsid w:val="00E27678"/>
    <w:rsid w:val="00E3200D"/>
    <w:rsid w:val="00E340A7"/>
    <w:rsid w:val="00E34208"/>
    <w:rsid w:val="00E37290"/>
    <w:rsid w:val="00E37A55"/>
    <w:rsid w:val="00E41C6F"/>
    <w:rsid w:val="00E46ACC"/>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2143"/>
    <w:rsid w:val="00E730A5"/>
    <w:rsid w:val="00E75503"/>
    <w:rsid w:val="00E80269"/>
    <w:rsid w:val="00E811F3"/>
    <w:rsid w:val="00E82463"/>
    <w:rsid w:val="00E84F50"/>
    <w:rsid w:val="00E85F91"/>
    <w:rsid w:val="00E94212"/>
    <w:rsid w:val="00EA1ADC"/>
    <w:rsid w:val="00EA23A7"/>
    <w:rsid w:val="00EA75C1"/>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2D62"/>
    <w:rsid w:val="00F63914"/>
    <w:rsid w:val="00F652E9"/>
    <w:rsid w:val="00F658F3"/>
    <w:rsid w:val="00F676D0"/>
    <w:rsid w:val="00F679ED"/>
    <w:rsid w:val="00F67C74"/>
    <w:rsid w:val="00F67D26"/>
    <w:rsid w:val="00F73A7B"/>
    <w:rsid w:val="00F75064"/>
    <w:rsid w:val="00F8016B"/>
    <w:rsid w:val="00F804E1"/>
    <w:rsid w:val="00F84AE0"/>
    <w:rsid w:val="00F874CE"/>
    <w:rsid w:val="00F87F88"/>
    <w:rsid w:val="00F90A9F"/>
    <w:rsid w:val="00F91DF6"/>
    <w:rsid w:val="00F962E3"/>
    <w:rsid w:val="00F973FC"/>
    <w:rsid w:val="00FA3359"/>
    <w:rsid w:val="00FA3F66"/>
    <w:rsid w:val="00FA73A6"/>
    <w:rsid w:val="00FA7BA5"/>
    <w:rsid w:val="00FB1FCF"/>
    <w:rsid w:val="00FB2706"/>
    <w:rsid w:val="00FB3374"/>
    <w:rsid w:val="00FB67DE"/>
    <w:rsid w:val="00FC1371"/>
    <w:rsid w:val="00FC6A15"/>
    <w:rsid w:val="00FD23CD"/>
    <w:rsid w:val="00FD4F5A"/>
    <w:rsid w:val="00FD68B9"/>
    <w:rsid w:val="00FD6CB9"/>
    <w:rsid w:val="00FD7D89"/>
    <w:rsid w:val="00FE3081"/>
    <w:rsid w:val="00FE3E3B"/>
    <w:rsid w:val="00FE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uiPriority w:val="99"/>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E46ACC"/>
    <w:pPr>
      <w:keepNext/>
      <w:outlineLvl w:val="1"/>
    </w:pPr>
    <w:rPr>
      <w:lang w:val="fr-BE"/>
    </w:rPr>
  </w:style>
  <w:style w:type="paragraph" w:styleId="Heading3">
    <w:name w:val="heading 3"/>
    <w:basedOn w:val="Normal"/>
    <w:next w:val="Normal"/>
    <w:link w:val="Heading3Char"/>
    <w:qFormat/>
    <w:rsid w:val="00E46ACC"/>
    <w:pPr>
      <w:keepNext/>
      <w:framePr w:hSpace="181" w:vSpace="181" w:wrap="auto" w:vAnchor="text" w:hAnchor="text" w:y="1"/>
      <w:outlineLvl w:val="2"/>
    </w:pPr>
  </w:style>
  <w:style w:type="paragraph" w:styleId="Heading4">
    <w:name w:val="heading 4"/>
    <w:basedOn w:val="Normal"/>
    <w:next w:val="Normal"/>
    <w:link w:val="Heading4Char"/>
    <w:uiPriority w:val="99"/>
    <w:qFormat/>
    <w:rsid w:val="00E46ACC"/>
    <w:pPr>
      <w:keepNext/>
      <w:numPr>
        <w:ilvl w:val="3"/>
        <w:numId w:val="2"/>
      </w:numPr>
      <w:spacing w:before="240" w:after="60"/>
      <w:outlineLvl w:val="3"/>
    </w:pPr>
    <w:rPr>
      <w:b/>
      <w:sz w:val="24"/>
    </w:rPr>
  </w:style>
  <w:style w:type="paragraph" w:styleId="Heading5">
    <w:name w:val="heading 5"/>
    <w:basedOn w:val="Normal"/>
    <w:next w:val="Normal"/>
    <w:link w:val="Heading5Char"/>
    <w:uiPriority w:val="99"/>
    <w:qFormat/>
    <w:rsid w:val="00E46ACC"/>
    <w:pPr>
      <w:numPr>
        <w:ilvl w:val="4"/>
        <w:numId w:val="2"/>
      </w:numPr>
      <w:spacing w:before="240" w:after="60"/>
      <w:outlineLvl w:val="4"/>
    </w:pPr>
    <w:rPr>
      <w:sz w:val="22"/>
    </w:rPr>
  </w:style>
  <w:style w:type="paragraph" w:styleId="Heading6">
    <w:name w:val="heading 6"/>
    <w:basedOn w:val="Normal"/>
    <w:next w:val="Normal"/>
    <w:link w:val="Heading6Char"/>
    <w:uiPriority w:val="99"/>
    <w:qFormat/>
    <w:rsid w:val="00E46ACC"/>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uiPriority w:val="99"/>
    <w:qFormat/>
    <w:rsid w:val="00E46ACC"/>
    <w:pPr>
      <w:numPr>
        <w:ilvl w:val="6"/>
        <w:numId w:val="2"/>
      </w:numPr>
      <w:spacing w:before="240" w:after="60"/>
      <w:outlineLvl w:val="6"/>
    </w:pPr>
  </w:style>
  <w:style w:type="paragraph" w:styleId="Heading8">
    <w:name w:val="heading 8"/>
    <w:basedOn w:val="Normal"/>
    <w:next w:val="Normal"/>
    <w:link w:val="Heading8Char"/>
    <w:uiPriority w:val="99"/>
    <w:qFormat/>
    <w:rsid w:val="00E46ACC"/>
    <w:pPr>
      <w:numPr>
        <w:ilvl w:val="7"/>
        <w:numId w:val="2"/>
      </w:numPr>
      <w:spacing w:before="240" w:after="60"/>
      <w:outlineLvl w:val="7"/>
    </w:pPr>
    <w:rPr>
      <w:i/>
    </w:rPr>
  </w:style>
  <w:style w:type="paragraph" w:styleId="Heading9">
    <w:name w:val="heading 9"/>
    <w:basedOn w:val="Normal"/>
    <w:next w:val="Normal"/>
    <w:link w:val="Heading9Char"/>
    <w:uiPriority w:val="99"/>
    <w:qFormat/>
    <w:rsid w:val="00E46ACC"/>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46ACC"/>
    <w:pPr>
      <w:jc w:val="center"/>
    </w:pPr>
    <w:rPr>
      <w:b/>
      <w:sz w:val="28"/>
      <w:lang w:val="fr-BE"/>
    </w:rPr>
  </w:style>
  <w:style w:type="paragraph" w:styleId="Subtitle">
    <w:name w:val="Subtitle"/>
    <w:basedOn w:val="Normal"/>
    <w:link w:val="SubtitleChar"/>
    <w:qFormat/>
    <w:rsid w:val="00E46ACC"/>
    <w:pPr>
      <w:jc w:val="center"/>
    </w:pPr>
    <w:rPr>
      <w:b/>
      <w:sz w:val="28"/>
      <w:lang w:val="fr-BE"/>
    </w:rPr>
  </w:style>
  <w:style w:type="paragraph" w:styleId="BodyTextIndent">
    <w:name w:val="Body Text Indent"/>
    <w:basedOn w:val="Normal"/>
    <w:link w:val="BodyTextIndentChar"/>
    <w:rsid w:val="00E46ACC"/>
    <w:pPr>
      <w:tabs>
        <w:tab w:val="num" w:pos="567"/>
      </w:tabs>
      <w:spacing w:before="0" w:after="0"/>
      <w:jc w:val="both"/>
    </w:pPr>
    <w:rPr>
      <w:rFonts w:ascii="Times New Roman" w:hAnsi="Times New Roman"/>
      <w:sz w:val="24"/>
    </w:rPr>
  </w:style>
  <w:style w:type="paragraph" w:styleId="BodyText">
    <w:name w:val="Body Text"/>
    <w:basedOn w:val="Normal"/>
    <w:link w:val="BodyTextChar"/>
    <w:rsid w:val="00E46ACC"/>
  </w:style>
  <w:style w:type="paragraph" w:styleId="BodyTextIndent2">
    <w:name w:val="Body Text Indent 2"/>
    <w:basedOn w:val="Normal"/>
    <w:link w:val="BodyTextIndent2Char"/>
    <w:rsid w:val="00E46ACC"/>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E46ACC"/>
    <w:pPr>
      <w:tabs>
        <w:tab w:val="left" w:pos="1276"/>
      </w:tabs>
      <w:ind w:left="1276" w:hanging="425"/>
      <w:jc w:val="both"/>
    </w:pPr>
    <w:rPr>
      <w:sz w:val="24"/>
    </w:rPr>
  </w:style>
  <w:style w:type="paragraph" w:customStyle="1" w:styleId="Text3">
    <w:name w:val="Text 3"/>
    <w:basedOn w:val="Normal"/>
    <w:rsid w:val="00E46ACC"/>
    <w:pPr>
      <w:tabs>
        <w:tab w:val="left" w:pos="2302"/>
      </w:tabs>
      <w:spacing w:after="240"/>
      <w:ind w:left="1202"/>
      <w:jc w:val="both"/>
    </w:pPr>
    <w:rPr>
      <w:sz w:val="24"/>
    </w:rPr>
  </w:style>
  <w:style w:type="paragraph" w:styleId="Header">
    <w:name w:val="header"/>
    <w:basedOn w:val="Normal"/>
    <w:link w:val="HeaderChar"/>
    <w:rsid w:val="00E46ACC"/>
    <w:pPr>
      <w:tabs>
        <w:tab w:val="center" w:pos="4320"/>
        <w:tab w:val="right" w:pos="8640"/>
      </w:tabs>
    </w:pPr>
  </w:style>
  <w:style w:type="paragraph" w:styleId="Footer">
    <w:name w:val="footer"/>
    <w:basedOn w:val="Normal"/>
    <w:link w:val="FooterChar"/>
    <w:rsid w:val="00E46ACC"/>
    <w:pPr>
      <w:tabs>
        <w:tab w:val="center" w:pos="4320"/>
        <w:tab w:val="right" w:pos="8640"/>
      </w:tabs>
    </w:pPr>
  </w:style>
  <w:style w:type="character" w:styleId="PageNumber">
    <w:name w:val="page number"/>
    <w:basedOn w:val="DefaultParagraphFont"/>
    <w:rsid w:val="00E46ACC"/>
  </w:style>
  <w:style w:type="paragraph" w:styleId="BodyText3">
    <w:name w:val="Body Text 3"/>
    <w:basedOn w:val="Normal"/>
    <w:link w:val="BodyText3Char"/>
    <w:rsid w:val="00E46ACC"/>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E46ACC"/>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E46ACC"/>
    <w:rPr>
      <w:vertAlign w:val="superscript"/>
    </w:rPr>
  </w:style>
  <w:style w:type="paragraph" w:styleId="DocumentMap">
    <w:name w:val="Document Map"/>
    <w:basedOn w:val="Normal"/>
    <w:link w:val="DocumentMapChar"/>
    <w:semiHidden/>
    <w:rsid w:val="00E46ACC"/>
    <w:pPr>
      <w:shd w:val="clear" w:color="auto" w:fill="000080"/>
    </w:pPr>
    <w:rPr>
      <w:sz w:val="24"/>
      <w:lang w:val="fr-FR"/>
    </w:rPr>
  </w:style>
  <w:style w:type="paragraph" w:customStyle="1" w:styleId="bulletsub">
    <w:name w:val="bullet_sub"/>
    <w:basedOn w:val="Normal"/>
    <w:rsid w:val="00E46AC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E46ACC"/>
    <w:pPr>
      <w:spacing w:after="240"/>
      <w:jc w:val="center"/>
    </w:pPr>
    <w:rPr>
      <w:b/>
      <w:sz w:val="40"/>
    </w:rPr>
  </w:style>
  <w:style w:type="paragraph" w:customStyle="1" w:styleId="SubTitle2">
    <w:name w:val="SubTitle 2"/>
    <w:basedOn w:val="Normal"/>
    <w:rsid w:val="00E46ACC"/>
    <w:pPr>
      <w:spacing w:after="240"/>
      <w:jc w:val="center"/>
    </w:pPr>
    <w:rPr>
      <w:b/>
      <w:sz w:val="32"/>
    </w:rPr>
  </w:style>
  <w:style w:type="paragraph" w:customStyle="1" w:styleId="Annexetitle">
    <w:name w:val="Annexe_title"/>
    <w:basedOn w:val="Heading1"/>
    <w:next w:val="Normal"/>
    <w:autoRedefine/>
    <w:rsid w:val="00E46ACC"/>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E46ACC"/>
    <w:pPr>
      <w:keepNext/>
      <w:widowControl w:val="0"/>
      <w:tabs>
        <w:tab w:val="num" w:pos="992"/>
      </w:tabs>
      <w:ind w:left="992" w:hanging="992"/>
    </w:pPr>
    <w:rPr>
      <w:b/>
      <w:sz w:val="18"/>
      <w:lang w:val="fr-FR"/>
    </w:rPr>
  </w:style>
  <w:style w:type="paragraph" w:customStyle="1" w:styleId="titlefront">
    <w:name w:val="title_front"/>
    <w:basedOn w:val="Normal"/>
    <w:rsid w:val="00E46ACC"/>
    <w:pPr>
      <w:spacing w:before="240"/>
      <w:ind w:left="1701"/>
      <w:jc w:val="right"/>
    </w:pPr>
    <w:rPr>
      <w:rFonts w:ascii="Optima" w:hAnsi="Optima"/>
      <w:b/>
      <w:sz w:val="28"/>
    </w:rPr>
  </w:style>
  <w:style w:type="paragraph" w:styleId="TOC1">
    <w:name w:val="toc 1"/>
    <w:basedOn w:val="Normal"/>
    <w:next w:val="Normal"/>
    <w:autoRedefine/>
    <w:semiHidden/>
    <w:rsid w:val="00E46ACC"/>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E46ACC"/>
    <w:pPr>
      <w:spacing w:before="0" w:after="0"/>
      <w:ind w:left="200"/>
    </w:pPr>
    <w:rPr>
      <w:rFonts w:ascii="Times New Roman" w:hAnsi="Times New Roman"/>
      <w:smallCaps/>
    </w:rPr>
  </w:style>
  <w:style w:type="character" w:styleId="Strong">
    <w:name w:val="Strong"/>
    <w:qFormat/>
    <w:rsid w:val="00E46ACC"/>
    <w:rPr>
      <w:b/>
    </w:rPr>
  </w:style>
  <w:style w:type="paragraph" w:customStyle="1" w:styleId="Blockquote">
    <w:name w:val="Blockquote"/>
    <w:basedOn w:val="Normal"/>
    <w:uiPriority w:val="99"/>
    <w:rsid w:val="00E46ACC"/>
    <w:pPr>
      <w:widowControl w:val="0"/>
      <w:spacing w:before="100" w:after="100"/>
      <w:ind w:left="360" w:right="360"/>
    </w:pPr>
    <w:rPr>
      <w:sz w:val="24"/>
      <w:lang w:val="en-US"/>
    </w:rPr>
  </w:style>
  <w:style w:type="paragraph" w:styleId="TOC3">
    <w:name w:val="toc 3"/>
    <w:basedOn w:val="Normal"/>
    <w:next w:val="Normal"/>
    <w:autoRedefine/>
    <w:semiHidden/>
    <w:rsid w:val="00E46ACC"/>
    <w:pPr>
      <w:spacing w:before="0" w:after="0"/>
      <w:ind w:left="400"/>
    </w:pPr>
    <w:rPr>
      <w:rFonts w:ascii="Times New Roman" w:hAnsi="Times New Roman"/>
      <w:i/>
    </w:rPr>
  </w:style>
  <w:style w:type="paragraph" w:styleId="TOC4">
    <w:name w:val="toc 4"/>
    <w:basedOn w:val="Normal"/>
    <w:next w:val="Normal"/>
    <w:autoRedefine/>
    <w:semiHidden/>
    <w:rsid w:val="00E46ACC"/>
    <w:pPr>
      <w:spacing w:before="0" w:after="0"/>
      <w:ind w:left="600"/>
    </w:pPr>
    <w:rPr>
      <w:rFonts w:ascii="Times New Roman" w:hAnsi="Times New Roman"/>
      <w:sz w:val="18"/>
    </w:rPr>
  </w:style>
  <w:style w:type="paragraph" w:styleId="TOC5">
    <w:name w:val="toc 5"/>
    <w:basedOn w:val="Normal"/>
    <w:next w:val="Normal"/>
    <w:autoRedefine/>
    <w:semiHidden/>
    <w:rsid w:val="00E46ACC"/>
    <w:pPr>
      <w:spacing w:before="0" w:after="0"/>
      <w:ind w:left="800"/>
    </w:pPr>
    <w:rPr>
      <w:rFonts w:ascii="Times New Roman" w:hAnsi="Times New Roman"/>
      <w:sz w:val="18"/>
    </w:rPr>
  </w:style>
  <w:style w:type="paragraph" w:styleId="TOC6">
    <w:name w:val="toc 6"/>
    <w:basedOn w:val="Normal"/>
    <w:next w:val="Normal"/>
    <w:autoRedefine/>
    <w:semiHidden/>
    <w:rsid w:val="00E46ACC"/>
    <w:pPr>
      <w:spacing w:before="0" w:after="0"/>
      <w:ind w:left="1000"/>
    </w:pPr>
    <w:rPr>
      <w:rFonts w:ascii="Times New Roman" w:hAnsi="Times New Roman"/>
      <w:sz w:val="18"/>
    </w:rPr>
  </w:style>
  <w:style w:type="paragraph" w:styleId="TOC7">
    <w:name w:val="toc 7"/>
    <w:basedOn w:val="Normal"/>
    <w:next w:val="Normal"/>
    <w:autoRedefine/>
    <w:semiHidden/>
    <w:rsid w:val="00E46ACC"/>
    <w:pPr>
      <w:spacing w:before="0" w:after="0"/>
      <w:ind w:left="1200"/>
    </w:pPr>
    <w:rPr>
      <w:rFonts w:ascii="Times New Roman" w:hAnsi="Times New Roman"/>
      <w:sz w:val="18"/>
    </w:rPr>
  </w:style>
  <w:style w:type="paragraph" w:styleId="TOC8">
    <w:name w:val="toc 8"/>
    <w:basedOn w:val="Normal"/>
    <w:next w:val="Normal"/>
    <w:autoRedefine/>
    <w:semiHidden/>
    <w:rsid w:val="00E46ACC"/>
    <w:pPr>
      <w:spacing w:before="0" w:after="0"/>
      <w:ind w:left="1400"/>
    </w:pPr>
    <w:rPr>
      <w:rFonts w:ascii="Times New Roman" w:hAnsi="Times New Roman"/>
      <w:sz w:val="18"/>
    </w:rPr>
  </w:style>
  <w:style w:type="paragraph" w:styleId="TOC9">
    <w:name w:val="toc 9"/>
    <w:basedOn w:val="Normal"/>
    <w:next w:val="Normal"/>
    <w:autoRedefine/>
    <w:semiHidden/>
    <w:rsid w:val="00E46ACC"/>
    <w:pPr>
      <w:spacing w:before="0" w:after="0"/>
      <w:ind w:left="1600"/>
    </w:pPr>
    <w:rPr>
      <w:rFonts w:ascii="Times New Roman" w:hAnsi="Times New Roman"/>
      <w:sz w:val="18"/>
    </w:rPr>
  </w:style>
  <w:style w:type="character" w:styleId="FollowedHyperlink">
    <w:name w:val="FollowedHyperlink"/>
    <w:rsid w:val="00E46ACC"/>
    <w:rPr>
      <w:color w:val="800080"/>
      <w:u w:val="single"/>
    </w:rPr>
  </w:style>
  <w:style w:type="paragraph" w:customStyle="1" w:styleId="Style2">
    <w:name w:val="Style2"/>
    <w:basedOn w:val="Style1"/>
    <w:rsid w:val="00E46ACC"/>
    <w:pPr>
      <w:tabs>
        <w:tab w:val="clear" w:pos="992"/>
        <w:tab w:val="num" w:pos="2091"/>
      </w:tabs>
      <w:ind w:left="2977"/>
      <w:jc w:val="both"/>
    </w:pPr>
  </w:style>
  <w:style w:type="paragraph" w:customStyle="1" w:styleId="text">
    <w:name w:val="text"/>
    <w:rsid w:val="00E46ACC"/>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E46ACC"/>
    <w:pPr>
      <w:widowControl w:val="0"/>
      <w:spacing w:before="0" w:after="0" w:line="360" w:lineRule="exact"/>
      <w:jc w:val="center"/>
    </w:pPr>
    <w:rPr>
      <w:b/>
      <w:sz w:val="32"/>
      <w:lang w:val="cs-CZ"/>
    </w:rPr>
  </w:style>
  <w:style w:type="paragraph" w:customStyle="1" w:styleId="ManualNumPar1">
    <w:name w:val="Manual NumPar 1"/>
    <w:basedOn w:val="Normal"/>
    <w:next w:val="Normal"/>
    <w:rsid w:val="00E46ACC"/>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prag/annexes.do?chapterTitleCode=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unding-tenders/opportunities/portal/screen/hom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ep.gov.mk/en/content/?id=97" TargetMode="External"/><Relationship Id="rId4" Type="http://schemas.openxmlformats.org/officeDocument/2006/relationships/settings" Target="settings.xml"/><Relationship Id="rId9" Type="http://schemas.openxmlformats.org/officeDocument/2006/relationships/hyperlink" Target="http://ec.europa.eu/europeaid/prag/annexes.do?group=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80623-22CD-41DF-B2D2-7F84524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6268</Words>
  <Characters>35729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41914</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10</cp:revision>
  <cp:lastPrinted>2018-04-13T13:21:00Z</cp:lastPrinted>
  <dcterms:created xsi:type="dcterms:W3CDTF">2021-02-18T12:30:00Z</dcterms:created>
  <dcterms:modified xsi:type="dcterms:W3CDTF">2021-02-26T08:45:00Z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